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  <w:lang w:eastAsia="zh-CN"/>
        </w:rPr>
        <w:t>肥城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市市场监督管理局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2020年行政执法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工作总结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80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80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2020年，我局在市委及市政府的正确领导下，</w:t>
      </w:r>
      <w:r>
        <w:rPr>
          <w:rFonts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全面深入贯彻党的十九大和十九届二中、三中、四中、五中全会精神，深入贯彻习近平总书记全面依法治国新理念新思想新战略，全面落实依法治国、依法治市各项工作安排，进一步规范行政执法。现将我局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2020年行政执法工作总结如下。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80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一、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行政执法总体情况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    </w:t>
      </w:r>
      <w:r>
        <w:rPr>
          <w:rFonts w:ascii="楷体_GB2312" w:hAnsi="楷体" w:eastAsia="楷体_GB2312" w:cs="楷体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（一）全面深入实施</w:t>
      </w:r>
      <w:r>
        <w:rPr>
          <w:rFonts w:hint="eastAsia" w:ascii="楷体" w:hAnsi="楷体" w:eastAsia="楷体" w:cs="楷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“双随机、一公开”监管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eastAsia" w:ascii="仿宋" w:hAnsi="仿宋" w:eastAsia="仿宋_GB2312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按照《国务院办公厅关于推广随机抽查规范事中事后监管的通知》（国办发〔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2015〕58号）要求，“双随机、一公开”监管已成为市场监管部门的日常监管手段。2020年，我局全面深入实施“双随机、一公开”监管，同时，进一步深入部门间联合双随机检查，制定了《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肥城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市市场监管领域部门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联合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“双随机、一公开”抽查工作细则》和《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肥城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市市场监管领域“双随机、一公开”抽查计划表（2020年度）》建立部门联动机制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2020年，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联合农业农村局、教育局、文体旅局、人社局等单位开展联合双随机检查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楷体_GB2312" w:hAnsi="楷体" w:eastAsia="楷体_GB2312" w:cs="楷体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（二）对重点行业开展针对性检查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一是检查食品生产经营单位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6000余户次，整改问题隐患50余处。二是以药店、医疗机构为重点检查单位，开展购买退烧药品实名登记、维护疫情防护药品、用品的市场价格和社会稳定。三是检查医疗器械、化妆品生产经营使用单位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二、认真落实执法“三项制度”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一是落实重大行政决策合法性审查制度。通过健全审核机构、明确审核范围、审核责任等方式加强对重大行政决策的合法性审查。同时聘请律师作为法律顾问参与重大执法决定法制审核。二是进一步推动行政执法公示制度。主动公开我局涉及行政强制、行政检查等六类共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83项行政权力职责、依据、权限等。执法人员在开展监督检查、调查取证执法活动时，主动出示执法证；</w:t>
      </w: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“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双随机、一公开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”行政检查信息借助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lang w:eastAsia="zh-CN"/>
        </w:rPr>
        <w:t>山东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省市场监管一体化平台等互联网平台对外公示。2020年，共公示440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条行政检查信息。三是</w:t>
      </w: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进一步落实执法全过程记录制度。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</w:t>
      </w:r>
      <w:r>
        <w:rPr>
          <w:rFonts w:hint="eastAsia" w:ascii="楷体" w:hAnsi="楷体" w:eastAsia="楷体" w:cs="楷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.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规范文字记录。按照国家市场监管总局制定的执法文书文本，对每次执法进行合法规范、客观全面、及时准确的记录。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2.推行音像记录。</w:t>
      </w:r>
      <w:r>
        <w:rPr>
          <w:rFonts w:hint="eastAsia" w:ascii="仿宋_GB2312" w:hAnsi="仿宋" w:eastAsia="仿宋_GB2312" w:cs="仿宋_GB2312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全局共配备执法记录仪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18台，配备信息收集站一台，及时对执法记录仪记录的执法信息进收集，实现执法过程可追溯。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80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</w:rPr>
        <w:t>三、存在的不足及下一步工作计划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一是执法人员的业务素质能力和执法水平还有待于进一步的提高。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2021年，我局将进一步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加强执法队伍的自身建设，不断提高业务工作水平，以利于今后执法工作的开展。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3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二是部门联合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“双随机，一公开”抽查工作还有待加强，抽查平台功能还需完善。建议相关部门高度重视“双随机，一公开”工作，深化部门协作，</w:t>
      </w:r>
      <w:r>
        <w:rPr>
          <w:rFonts w:hint="eastAsia" w:ascii="仿宋_GB2312" w:hAnsi="仿宋" w:eastAsia="仿宋_GB2312" w:cs="仿宋_GB2312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实现部门联合抽查常态化。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-方正超大字符集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A41CD"/>
    <w:rsid w:val="7ADA4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2021-01-04T01:07:00Z</dcterms:created>
  <dc:creator>emmmm</dc:creator>
  <cp:lastModifiedBy>emmmm</cp:lastModifiedBy>
  <dcterms:modified xsi:type="dcterms:W3CDTF">2021-01-04T01:14:06Z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