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both"/>
        <w:rPr>
          <w:rFonts w:hint="eastAsia" w:ascii="方正小标宋简体" w:hAnsi="方正小标宋简体" w:eastAsia="方正小标宋简体" w:cs="方正小标宋简体"/>
          <w:color w:val="000000"/>
          <w:sz w:val="44"/>
          <w:szCs w:val="44"/>
        </w:rPr>
      </w:pPr>
    </w:p>
    <w:p>
      <w:pPr>
        <w:ind w:firstLine="880" w:firstLineChars="200"/>
        <w:jc w:val="both"/>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市</w:t>
      </w:r>
      <w:r>
        <w:rPr>
          <w:rFonts w:hint="eastAsia" w:ascii="方正小标宋简体" w:hAnsi="方正小标宋简体" w:eastAsia="方正小标宋简体" w:cs="方正小标宋简体"/>
          <w:color w:val="000000"/>
          <w:sz w:val="44"/>
          <w:szCs w:val="44"/>
          <w:lang w:val="en-US" w:eastAsia="zh-CN"/>
        </w:rPr>
        <w:t>交通运输局</w:t>
      </w:r>
      <w:r>
        <w:rPr>
          <w:rFonts w:hint="eastAsia" w:ascii="方正小标宋简体" w:hAnsi="方正小标宋简体" w:eastAsia="方正小标宋简体" w:cs="方正小标宋简体"/>
          <w:color w:val="000000"/>
          <w:sz w:val="44"/>
          <w:szCs w:val="44"/>
        </w:rPr>
        <w:t>行政执法主体资格清单</w:t>
      </w:r>
    </w:p>
    <w:tbl>
      <w:tblPr>
        <w:tblStyle w:val="7"/>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559"/>
        <w:gridCol w:w="1276"/>
        <w:gridCol w:w="567"/>
        <w:gridCol w:w="1349"/>
        <w:gridCol w:w="352"/>
        <w:gridCol w:w="85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668" w:type="dxa"/>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机构名称</w:t>
            </w:r>
          </w:p>
        </w:tc>
        <w:tc>
          <w:tcPr>
            <w:tcW w:w="7512" w:type="dxa"/>
            <w:gridSpan w:val="7"/>
            <w:vAlign w:val="center"/>
          </w:tcPr>
          <w:p>
            <w:pPr>
              <w:pStyle w:val="5"/>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肥城市交通运输局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668" w:type="dxa"/>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机构性质</w:t>
            </w:r>
          </w:p>
        </w:tc>
        <w:tc>
          <w:tcPr>
            <w:tcW w:w="7512" w:type="dxa"/>
            <w:gridSpan w:val="7"/>
            <w:vAlign w:val="center"/>
          </w:tcPr>
          <w:p>
            <w:pPr>
              <w:spacing w:line="440" w:lineRule="exact"/>
              <w:ind w:firstLine="400" w:firstLineChars="200"/>
              <w:rPr>
                <w:rFonts w:ascii="仿宋_GB2312" w:hAnsi="宋体" w:eastAsia="仿宋_GB2312"/>
                <w:color w:val="000000"/>
                <w:kern w:val="0"/>
                <w:sz w:val="20"/>
              </w:rPr>
            </w:pP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rPr>
              <w:t xml:space="preserve">行政机关  </w:t>
            </w: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rPr>
              <w:t xml:space="preserve">事业单位 </w:t>
            </w: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rPr>
              <w:t xml:space="preserve">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 xml:space="preserve">内设机构  </w:t>
            </w:r>
            <w:r>
              <w:rPr>
                <w:rFonts w:hint="eastAsia" w:ascii="仿宋_GB2312" w:hAnsi="宋体" w:eastAsia="仿宋_GB2312"/>
                <w:color w:val="000000"/>
                <w:kern w:val="0"/>
                <w:sz w:val="20"/>
                <w:szCs w:val="36"/>
              </w:rPr>
              <w:t xml:space="preserve">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 xml:space="preserve">临时机构     </w:t>
            </w:r>
            <w:r>
              <w:rPr>
                <w:rFonts w:hint="eastAsia" w:ascii="仿宋_GB2312" w:hAnsi="宋体" w:eastAsia="仿宋_GB2312"/>
                <w:color w:val="000000"/>
                <w:kern w:val="0"/>
                <w:sz w:val="20"/>
                <w:szCs w:val="32"/>
              </w:rPr>
              <w:t>□</w:t>
            </w:r>
            <w:r>
              <w:rPr>
                <w:rFonts w:hint="eastAsia" w:ascii="仿宋_GB2312" w:hAnsi="宋体" w:eastAsia="仿宋_GB2312"/>
                <w:color w:val="000000"/>
                <w:kern w:val="0"/>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668" w:type="dxa"/>
            <w:vAlign w:val="center"/>
          </w:tcPr>
          <w:p>
            <w:pPr>
              <w:pStyle w:val="5"/>
              <w:widowControl/>
              <w:spacing w:before="0" w:beforeAutospacing="0" w:after="0" w:afterAutospacing="0" w:line="400" w:lineRule="exact"/>
              <w:jc w:val="center"/>
              <w:rPr>
                <w:rFonts w:hint="eastAsia" w:ascii="黑体" w:hAnsi="黑体" w:eastAsia="黑体" w:cs="黑体"/>
                <w:color w:val="000000"/>
                <w:szCs w:val="32"/>
              </w:rPr>
            </w:pPr>
            <w:r>
              <w:rPr>
                <w:rFonts w:hint="eastAsia" w:ascii="黑体" w:hAnsi="黑体" w:eastAsia="黑体" w:cs="黑体"/>
                <w:color w:val="000000"/>
                <w:szCs w:val="32"/>
              </w:rPr>
              <w:t>主体类别</w:t>
            </w:r>
          </w:p>
        </w:tc>
        <w:tc>
          <w:tcPr>
            <w:tcW w:w="7512" w:type="dxa"/>
            <w:gridSpan w:val="7"/>
            <w:vAlign w:val="center"/>
          </w:tcPr>
          <w:p>
            <w:pPr>
              <w:spacing w:line="260" w:lineRule="exact"/>
              <w:rPr>
                <w:rFonts w:ascii="仿宋_GB2312" w:hAnsi="宋体" w:eastAsia="仿宋_GB2312" w:cs="宋体"/>
                <w:color w:val="000000"/>
                <w:kern w:val="0"/>
                <w:sz w:val="20"/>
                <w:szCs w:val="21"/>
              </w:rPr>
            </w:pPr>
            <w:r>
              <w:rPr>
                <w:rFonts w:hint="eastAsia" w:ascii="仿宋_GB2312" w:hAnsi="宋体" w:eastAsia="仿宋_GB2312" w:cs="宋体"/>
                <w:color w:val="000000"/>
                <w:kern w:val="0"/>
                <w:sz w:val="20"/>
                <w:szCs w:val="21"/>
              </w:rPr>
              <w:t xml:space="preserve">    </w:t>
            </w:r>
            <w:r>
              <w:rPr>
                <w:rFonts w:hint="eastAsia" w:ascii="仿宋_GB2312" w:hAnsi="宋体" w:eastAsia="仿宋_GB2312" w:cs="宋体"/>
                <w:color w:val="000000"/>
                <w:kern w:val="0"/>
                <w:sz w:val="20"/>
                <w:szCs w:val="21"/>
                <w:lang w:eastAsia="zh-CN"/>
              </w:rPr>
              <w:t>☑</w:t>
            </w:r>
            <w:r>
              <w:rPr>
                <w:rFonts w:hint="eastAsia" w:ascii="仿宋_GB2312" w:hAnsi="宋体" w:eastAsia="仿宋_GB2312" w:cs="宋体"/>
                <w:color w:val="000000"/>
                <w:kern w:val="0"/>
                <w:sz w:val="20"/>
                <w:szCs w:val="21"/>
              </w:rPr>
              <w:t xml:space="preserve">法定行政机关          </w:t>
            </w:r>
            <w:r>
              <w:rPr>
                <w:rFonts w:hint="eastAsia" w:ascii="仿宋_GB2312" w:hAnsi="宋体" w:eastAsia="仿宋_GB2312"/>
                <w:color w:val="000000"/>
                <w:kern w:val="0"/>
                <w:sz w:val="20"/>
                <w:szCs w:val="32"/>
              </w:rPr>
              <w:t>□</w:t>
            </w:r>
            <w:r>
              <w:rPr>
                <w:rFonts w:hint="eastAsia" w:ascii="仿宋_GB2312" w:hAnsi="宋体" w:eastAsia="仿宋_GB2312" w:cs="宋体"/>
                <w:color w:val="000000"/>
                <w:kern w:val="0"/>
                <w:sz w:val="20"/>
                <w:szCs w:val="21"/>
              </w:rPr>
              <w:t>法律、法规授权的组织</w:t>
            </w:r>
          </w:p>
          <w:p>
            <w:pPr>
              <w:spacing w:line="260" w:lineRule="exact"/>
              <w:rPr>
                <w:rFonts w:ascii="仿宋_GB2312" w:hAnsi="宋体" w:eastAsia="仿宋_GB2312"/>
                <w:color w:val="000000"/>
                <w:kern w:val="0"/>
                <w:sz w:val="20"/>
                <w:szCs w:val="21"/>
              </w:rPr>
            </w:pPr>
            <w:r>
              <w:rPr>
                <w:rFonts w:hint="eastAsia" w:ascii="仿宋_GB2312" w:hAnsi="宋体" w:eastAsia="仿宋_GB2312" w:cs="宋体"/>
                <w:color w:val="000000"/>
                <w:kern w:val="0"/>
                <w:sz w:val="20"/>
                <w:szCs w:val="21"/>
              </w:rPr>
              <w:t xml:space="preserve">    □依法受委托执法的组织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8" w:type="dxa"/>
            <w:vAlign w:val="center"/>
          </w:tcPr>
          <w:p>
            <w:pPr>
              <w:spacing w:line="260" w:lineRule="exact"/>
              <w:jc w:val="center"/>
              <w:rPr>
                <w:rFonts w:hint="eastAsia" w:ascii="黑体" w:hAnsi="黑体" w:eastAsia="黑体" w:cs="黑体"/>
                <w:color w:val="000000"/>
                <w:kern w:val="0"/>
                <w:sz w:val="20"/>
                <w:szCs w:val="32"/>
              </w:rPr>
            </w:pPr>
            <w:r>
              <w:rPr>
                <w:rFonts w:hint="eastAsia" w:ascii="黑体" w:hAnsi="黑体" w:eastAsia="黑体" w:cs="黑体"/>
                <w:color w:val="000000"/>
                <w:kern w:val="0"/>
                <w:sz w:val="24"/>
                <w:szCs w:val="32"/>
              </w:rPr>
              <w:t>执法职权</w:t>
            </w:r>
            <w:r>
              <w:rPr>
                <w:rFonts w:hint="eastAsia" w:ascii="黑体" w:hAnsi="黑体" w:eastAsia="黑体" w:cs="黑体"/>
                <w:color w:val="000000"/>
                <w:kern w:val="0"/>
                <w:sz w:val="20"/>
                <w:szCs w:val="32"/>
              </w:rPr>
              <w:t>类型</w:t>
            </w:r>
          </w:p>
        </w:tc>
        <w:tc>
          <w:tcPr>
            <w:tcW w:w="7512" w:type="dxa"/>
            <w:gridSpan w:val="7"/>
            <w:vAlign w:val="center"/>
          </w:tcPr>
          <w:p>
            <w:pPr>
              <w:spacing w:line="260" w:lineRule="exact"/>
              <w:rPr>
                <w:rFonts w:ascii="仿宋_GB2312" w:hAnsi="宋体" w:eastAsia="仿宋_GB2312"/>
                <w:color w:val="000000"/>
                <w:kern w:val="0"/>
                <w:sz w:val="20"/>
                <w:szCs w:val="32"/>
              </w:rPr>
            </w:pP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 xml:space="preserve">行政许可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 xml:space="preserve">行政处罚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行政强制  □行政征收</w:t>
            </w:r>
          </w:p>
          <w:p>
            <w:pPr>
              <w:spacing w:line="260" w:lineRule="exact"/>
              <w:rPr>
                <w:rFonts w:ascii="仿宋_GB2312" w:hAnsi="宋体" w:eastAsia="仿宋_GB2312"/>
                <w:color w:val="000000"/>
                <w:kern w:val="0"/>
                <w:sz w:val="20"/>
              </w:rPr>
            </w:pPr>
            <w:r>
              <w:rPr>
                <w:rFonts w:hint="eastAsia" w:ascii="仿宋_GB2312" w:hAnsi="宋体" w:eastAsia="仿宋_GB2312"/>
                <w:color w:val="000000"/>
                <w:kern w:val="0"/>
                <w:sz w:val="20"/>
                <w:szCs w:val="32"/>
              </w:rPr>
              <w:t xml:space="preserve">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 xml:space="preserve">行政征用  </w:t>
            </w:r>
            <w:r>
              <w:rPr>
                <w:rFonts w:hint="eastAsia" w:ascii="仿宋_GB2312" w:hAnsi="宋体" w:eastAsia="仿宋_GB2312"/>
                <w:color w:val="000000"/>
                <w:kern w:val="0"/>
                <w:sz w:val="20"/>
                <w:szCs w:val="32"/>
                <w:lang w:eastAsia="zh-CN"/>
              </w:rPr>
              <w:t>☑</w:t>
            </w:r>
            <w:r>
              <w:rPr>
                <w:rFonts w:hint="eastAsia" w:ascii="仿宋_GB2312" w:hAnsi="宋体" w:eastAsia="仿宋_GB2312"/>
                <w:color w:val="000000"/>
                <w:kern w:val="0"/>
                <w:sz w:val="20"/>
                <w:szCs w:val="32"/>
              </w:rPr>
              <w:t>行政检查  □其他行政执法行为</w:t>
            </w:r>
            <w:r>
              <w:rPr>
                <w:rFonts w:hint="eastAsia" w:ascii="仿宋_GB2312" w:hAnsi="宋体" w:eastAsia="仿宋_GB2312"/>
                <w:color w:val="000000"/>
                <w:kern w:val="0"/>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5"/>
              <w:widowControl/>
              <w:spacing w:before="0" w:beforeAutospacing="0" w:after="0" w:afterAutospacing="0" w:line="400" w:lineRule="exact"/>
              <w:jc w:val="center"/>
              <w:rPr>
                <w:rFonts w:hint="eastAsia" w:ascii="黑体" w:hAnsi="黑体" w:eastAsia="黑体" w:cs="黑体"/>
                <w:color w:val="000000"/>
                <w:szCs w:val="32"/>
              </w:rPr>
            </w:pPr>
            <w:r>
              <w:rPr>
                <w:rFonts w:hint="eastAsia" w:ascii="黑体" w:hAnsi="黑体" w:eastAsia="黑体" w:cs="黑体"/>
                <w:color w:val="000000"/>
                <w:szCs w:val="32"/>
              </w:rPr>
              <w:t>经费来源</w:t>
            </w:r>
          </w:p>
        </w:tc>
        <w:tc>
          <w:tcPr>
            <w:tcW w:w="7512" w:type="dxa"/>
            <w:gridSpan w:val="7"/>
            <w:vAlign w:val="center"/>
          </w:tcPr>
          <w:p>
            <w:pPr>
              <w:pStyle w:val="5"/>
              <w:widowControl/>
              <w:spacing w:before="0" w:beforeAutospacing="0" w:after="0" w:afterAutospacing="0" w:line="400" w:lineRule="exact"/>
              <w:rPr>
                <w:rFonts w:ascii="仿宋" w:hAnsi="仿宋" w:eastAsia="仿宋" w:cs="仿宋"/>
                <w:color w:val="000000"/>
                <w:szCs w:val="32"/>
              </w:rPr>
            </w:pPr>
            <w:r>
              <w:rPr>
                <w:rFonts w:hint="eastAsia" w:ascii="仿宋_GB2312" w:hAnsi="宋体" w:eastAsia="仿宋_GB2312"/>
                <w:color w:val="000000"/>
                <w:szCs w:val="21"/>
                <w:lang w:eastAsia="zh-CN"/>
              </w:rPr>
              <w:t>☑</w:t>
            </w:r>
            <w:r>
              <w:rPr>
                <w:rFonts w:hint="eastAsia" w:ascii="仿宋_GB2312" w:hAnsi="仿宋_GB2312" w:eastAsia="仿宋_GB2312" w:cs="仿宋_GB2312"/>
                <w:color w:val="000000"/>
                <w:szCs w:val="21"/>
              </w:rPr>
              <w:t xml:space="preserve">财政全额拨款  </w:t>
            </w:r>
            <w:r>
              <w:rPr>
                <w:rFonts w:hint="eastAsia" w:ascii="仿宋_GB2312" w:hAnsi="宋体" w:eastAsia="仿宋_GB2312"/>
                <w:color w:val="000000"/>
                <w:szCs w:val="21"/>
              </w:rPr>
              <w:t>□财政差额拨款  □自收自支   □其他</w:t>
            </w:r>
            <w:r>
              <w:rPr>
                <w:rFonts w:hint="eastAsia" w:ascii="仿宋_GB2312" w:hAnsi="宋体" w:eastAsia="仿宋_GB2312"/>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单位地址</w:t>
            </w:r>
          </w:p>
        </w:tc>
        <w:tc>
          <w:tcPr>
            <w:tcW w:w="7512" w:type="dxa"/>
            <w:gridSpan w:val="7"/>
            <w:vAlign w:val="center"/>
          </w:tcPr>
          <w:p>
            <w:pPr>
              <w:pStyle w:val="5"/>
              <w:widowControl/>
              <w:spacing w:before="0" w:beforeAutospacing="0" w:after="0" w:afterAutospacing="0" w:line="400" w:lineRule="exact"/>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肥城市新城街道办事处泰西大街47号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668" w:type="dxa"/>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法定代表人</w:t>
            </w:r>
          </w:p>
        </w:tc>
        <w:tc>
          <w:tcPr>
            <w:tcW w:w="2835" w:type="dxa"/>
            <w:gridSpan w:val="2"/>
            <w:vAlign w:val="center"/>
          </w:tcPr>
          <w:p>
            <w:pPr>
              <w:pStyle w:val="5"/>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刘 岑</w:t>
            </w:r>
          </w:p>
        </w:tc>
        <w:tc>
          <w:tcPr>
            <w:tcW w:w="1916" w:type="dxa"/>
            <w:gridSpan w:val="2"/>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投诉举报电话</w:t>
            </w:r>
          </w:p>
        </w:tc>
        <w:tc>
          <w:tcPr>
            <w:tcW w:w="2761" w:type="dxa"/>
            <w:gridSpan w:val="3"/>
            <w:vAlign w:val="center"/>
          </w:tcPr>
          <w:p>
            <w:pPr>
              <w:pStyle w:val="5"/>
              <w:widowControl/>
              <w:spacing w:before="0" w:beforeAutospacing="0" w:after="0" w:afterAutospacing="0" w:line="400" w:lineRule="exact"/>
              <w:jc w:val="center"/>
              <w:rPr>
                <w:rFonts w:hint="default" w:ascii="仿宋" w:hAnsi="仿宋" w:eastAsia="仿宋" w:cs="仿宋"/>
                <w:color w:val="000000"/>
                <w:szCs w:val="32"/>
                <w:lang w:val="en-US" w:eastAsia="zh-CN"/>
              </w:rPr>
            </w:pPr>
            <w:r>
              <w:rPr>
                <w:rFonts w:hint="eastAsia" w:ascii="仿宋" w:hAnsi="仿宋" w:eastAsia="仿宋" w:cs="仿宋"/>
                <w:color w:val="000000"/>
                <w:szCs w:val="32"/>
                <w:lang w:val="en-US" w:eastAsia="zh-CN"/>
              </w:rPr>
              <w:t>3212729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2" w:hRule="atLeast"/>
        </w:trPr>
        <w:tc>
          <w:tcPr>
            <w:tcW w:w="1668" w:type="dxa"/>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执法主要依据</w:t>
            </w:r>
          </w:p>
        </w:tc>
        <w:tc>
          <w:tcPr>
            <w:tcW w:w="7512" w:type="dxa"/>
            <w:gridSpan w:val="7"/>
            <w:vAlign w:val="center"/>
          </w:tcPr>
          <w:p>
            <w:pPr>
              <w:pStyle w:val="5"/>
              <w:widowControl/>
              <w:numPr>
                <w:ilvl w:val="0"/>
                <w:numId w:val="1"/>
              </w:numPr>
              <w:tabs>
                <w:tab w:val="left" w:pos="295"/>
              </w:tabs>
              <w:spacing w:before="0" w:beforeAutospacing="0" w:after="0" w:afterAutospacing="0" w:line="400" w:lineRule="exact"/>
              <w:jc w:val="left"/>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 xml:space="preserve">行政许可：《公路法》第四十二条：“公路用地上的树木，不得任意砍伐；需要更新砍伐的，应当经县级以上地方人民政府交通主管部门同意后，依照《中华人民共和国森林法》的规定办理审批手续，并完成更新补种任务。” </w:t>
            </w:r>
          </w:p>
          <w:p>
            <w:pPr>
              <w:pStyle w:val="5"/>
              <w:widowControl/>
              <w:numPr>
                <w:ilvl w:val="0"/>
                <w:numId w:val="2"/>
              </w:numPr>
              <w:tabs>
                <w:tab w:val="left" w:pos="295"/>
                <w:tab w:val="clear" w:pos="312"/>
              </w:tabs>
              <w:spacing w:before="0" w:beforeAutospacing="0" w:after="0" w:afterAutospacing="0" w:line="400" w:lineRule="exact"/>
              <w:jc w:val="left"/>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行政处罚：</w:t>
            </w:r>
            <w:r>
              <w:rPr>
                <w:rFonts w:hint="eastAsia" w:ascii="仿宋" w:hAnsi="仿宋" w:eastAsia="仿宋" w:cs="仿宋"/>
                <w:color w:val="000000"/>
                <w:sz w:val="24"/>
                <w:szCs w:val="32"/>
                <w:lang w:eastAsia="zh-CN"/>
              </w:rPr>
              <w:t>《公路法》第七十四条：违反法律或者国务院有关规定，擅自在公路上设卡、收费的，由交通主管部门责令停止违法行为，没收违法所得，可以处违法所得三倍以下的罚款，没有违法所得的，可以处二万元以下的罚款；对负有直接责任的主管人员和其他直接责任人员，依法给予行政处分。对道路运输及相关业务经营场所、客货集散地进行监督检查</w:t>
            </w:r>
            <w:r>
              <w:rPr>
                <w:rFonts w:hint="eastAsia" w:ascii="仿宋" w:hAnsi="仿宋" w:eastAsia="仿宋" w:cs="仿宋"/>
                <w:color w:val="000000"/>
                <w:sz w:val="24"/>
                <w:szCs w:val="32"/>
                <w:lang w:val="en-US" w:eastAsia="zh-CN"/>
              </w:rPr>
              <w:t>;</w:t>
            </w:r>
          </w:p>
          <w:p>
            <w:pPr>
              <w:pStyle w:val="5"/>
              <w:widowControl/>
              <w:numPr>
                <w:ilvl w:val="0"/>
                <w:numId w:val="2"/>
              </w:numPr>
              <w:tabs>
                <w:tab w:val="left" w:pos="295"/>
                <w:tab w:val="clear" w:pos="312"/>
              </w:tabs>
              <w:spacing w:before="0" w:beforeAutospacing="0" w:after="0" w:afterAutospacing="0" w:line="400" w:lineRule="exact"/>
              <w:ind w:left="0" w:leftChars="0" w:firstLine="0" w:firstLineChars="0"/>
              <w:jc w:val="left"/>
              <w:rPr>
                <w:rFonts w:hint="eastAsia" w:ascii="仿宋" w:hAnsi="仿宋" w:eastAsia="仿宋" w:cs="仿宋"/>
                <w:color w:val="000000"/>
                <w:sz w:val="24"/>
                <w:szCs w:val="32"/>
                <w:lang w:val="en-US" w:eastAsia="zh-CN"/>
              </w:rPr>
            </w:pPr>
            <w:r>
              <w:rPr>
                <w:rFonts w:hint="eastAsia" w:ascii="仿宋" w:hAnsi="仿宋" w:eastAsia="仿宋" w:cs="仿宋"/>
                <w:color w:val="000000"/>
                <w:sz w:val="24"/>
                <w:szCs w:val="32"/>
                <w:lang w:val="en-US" w:eastAsia="zh-CN"/>
              </w:rPr>
              <w:t>行政强制：《公路安全保护条例》第五十六条第（一）项：“违反本条例的规定，有下列情形之一的，由公路管理机构责令限期拆除，可以处5万元以下的罚款。逾期不拆除的，由公路管理机构拆除，有关费用由违法行为人承担：（一）在公路建筑控制区内修建、扩建建筑物、地面构筑物或者未经许可埋设管道、电缆等设施的；（二）在公路建筑控制区外修建的建筑物、地面构筑物以及其他设施遮挡公路标志或者妨碍安全视距的。”</w:t>
            </w:r>
            <w:bookmarkStart w:id="0" w:name="_GoBack"/>
            <w:bookmarkEnd w:id="0"/>
          </w:p>
          <w:p>
            <w:pPr>
              <w:pStyle w:val="5"/>
              <w:widowControl/>
              <w:numPr>
                <w:ilvl w:val="0"/>
                <w:numId w:val="0"/>
              </w:numPr>
              <w:tabs>
                <w:tab w:val="left" w:pos="295"/>
              </w:tabs>
              <w:spacing w:before="0" w:beforeAutospacing="0" w:after="0" w:afterAutospacing="0" w:line="400" w:lineRule="exact"/>
              <w:ind w:leftChars="0"/>
              <w:jc w:val="left"/>
              <w:rPr>
                <w:rFonts w:hint="eastAsia" w:ascii="仿宋" w:hAnsi="仿宋" w:eastAsia="仿宋" w:cs="仿宋"/>
                <w:color w:val="000000"/>
                <w:szCs w:val="32"/>
                <w:lang w:eastAsia="zh-CN"/>
              </w:rPr>
            </w:pPr>
            <w:r>
              <w:rPr>
                <w:rFonts w:hint="eastAsia" w:ascii="仿宋" w:hAnsi="仿宋" w:eastAsia="仿宋" w:cs="仿宋"/>
                <w:color w:val="000000"/>
                <w:sz w:val="24"/>
                <w:szCs w:val="32"/>
                <w:lang w:val="en-US" w:eastAsia="zh-CN"/>
              </w:rPr>
              <w:t>4.行政检查：</w:t>
            </w:r>
            <w:r>
              <w:rPr>
                <w:rFonts w:hint="eastAsia" w:ascii="仿宋" w:hAnsi="仿宋" w:eastAsia="仿宋" w:cs="仿宋"/>
                <w:color w:val="000000"/>
                <w:sz w:val="24"/>
                <w:szCs w:val="32"/>
                <w:lang w:eastAsia="zh-CN"/>
              </w:rPr>
              <w:t>《道路运输条例》第五十八条　道路运输管理机构的工作人员应当严格按照职责权限和程序进行监督检查，不得乱设卡、乱收费、乱罚款。道路运输管理机构的工作人员应当重点在道路运输及相关业务经营场所、客货集散地进行监督检查。道路运输管理机构的工作人员在公路路口进行监督检查时，不得随意拦截正常行驶的道路运输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Merge w:val="restart"/>
            <w:vAlign w:val="center"/>
          </w:tcPr>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委托执法</w:t>
            </w:r>
          </w:p>
          <w:p>
            <w:pPr>
              <w:pStyle w:val="5"/>
              <w:widowControl/>
              <w:spacing w:before="0" w:beforeAutospacing="0" w:after="0" w:afterAutospacing="0" w:line="400" w:lineRule="exact"/>
              <w:jc w:val="center"/>
              <w:rPr>
                <w:rFonts w:ascii="黑体" w:hAnsi="黑体" w:eastAsia="黑体" w:cs="黑体"/>
                <w:color w:val="000000"/>
                <w:szCs w:val="32"/>
              </w:rPr>
            </w:pPr>
            <w:r>
              <w:rPr>
                <w:rFonts w:hint="eastAsia" w:ascii="黑体" w:hAnsi="黑体" w:eastAsia="黑体" w:cs="黑体"/>
                <w:color w:val="000000"/>
                <w:szCs w:val="32"/>
              </w:rPr>
              <w:t>情况</w:t>
            </w:r>
          </w:p>
        </w:tc>
        <w:tc>
          <w:tcPr>
            <w:tcW w:w="1559" w:type="dxa"/>
            <w:vAlign w:val="center"/>
          </w:tcPr>
          <w:p>
            <w:pPr>
              <w:pStyle w:val="5"/>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是否实施委托执法</w:t>
            </w:r>
          </w:p>
        </w:tc>
        <w:tc>
          <w:tcPr>
            <w:tcW w:w="1843" w:type="dxa"/>
            <w:gridSpan w:val="2"/>
            <w:vAlign w:val="center"/>
          </w:tcPr>
          <w:p>
            <w:pPr>
              <w:pStyle w:val="5"/>
              <w:widowControl/>
              <w:spacing w:before="0" w:beforeAutospacing="0" w:after="0" w:afterAutospacing="0" w:line="320" w:lineRule="exact"/>
              <w:jc w:val="center"/>
              <w:rPr>
                <w:rFonts w:ascii="仿宋" w:hAnsi="仿宋" w:eastAsia="仿宋" w:cs="仿宋"/>
                <w:color w:val="000000"/>
                <w:szCs w:val="32"/>
              </w:rPr>
            </w:pPr>
            <w:r>
              <w:rPr>
                <w:rFonts w:hint="eastAsia" w:ascii="仿宋" w:hAnsi="仿宋" w:eastAsia="仿宋" w:cs="仿宋"/>
                <w:color w:val="000000"/>
                <w:szCs w:val="32"/>
              </w:rPr>
              <w:t xml:space="preserve">否 </w:t>
            </w:r>
          </w:p>
        </w:tc>
        <w:tc>
          <w:tcPr>
            <w:tcW w:w="1701" w:type="dxa"/>
            <w:gridSpan w:val="2"/>
            <w:vAlign w:val="center"/>
          </w:tcPr>
          <w:p>
            <w:pPr>
              <w:pStyle w:val="5"/>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受委托执法单位名称</w:t>
            </w:r>
          </w:p>
        </w:tc>
        <w:tc>
          <w:tcPr>
            <w:tcW w:w="2409" w:type="dxa"/>
            <w:gridSpan w:val="2"/>
            <w:vAlign w:val="center"/>
          </w:tcPr>
          <w:p>
            <w:pPr>
              <w:pStyle w:val="5"/>
              <w:widowControl/>
              <w:spacing w:before="0" w:beforeAutospacing="0" w:after="0" w:afterAutospacing="0" w:line="320" w:lineRule="exac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668" w:type="dxa"/>
            <w:vMerge w:val="continue"/>
            <w:vAlign w:val="center"/>
          </w:tcPr>
          <w:p>
            <w:pPr>
              <w:pStyle w:val="5"/>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pPr>
              <w:pStyle w:val="5"/>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受委托执法机构性质</w:t>
            </w:r>
          </w:p>
        </w:tc>
        <w:tc>
          <w:tcPr>
            <w:tcW w:w="3544" w:type="dxa"/>
            <w:gridSpan w:val="4"/>
            <w:vAlign w:val="center"/>
          </w:tcPr>
          <w:p>
            <w:pPr>
              <w:pStyle w:val="5"/>
              <w:widowControl/>
              <w:spacing w:before="0" w:beforeAutospacing="0" w:after="0" w:afterAutospacing="0" w:line="320" w:lineRule="exact"/>
              <w:jc w:val="center"/>
              <w:rPr>
                <w:rFonts w:ascii="仿宋" w:hAnsi="仿宋" w:eastAsia="仿宋" w:cs="仿宋"/>
                <w:color w:val="000000"/>
                <w:szCs w:val="32"/>
              </w:rPr>
            </w:pPr>
          </w:p>
        </w:tc>
        <w:tc>
          <w:tcPr>
            <w:tcW w:w="850" w:type="dxa"/>
            <w:vAlign w:val="center"/>
          </w:tcPr>
          <w:p>
            <w:pPr>
              <w:pStyle w:val="5"/>
              <w:widowControl/>
              <w:spacing w:before="0" w:beforeAutospacing="0" w:after="0" w:afterAutospacing="0" w:line="320" w:lineRule="exact"/>
              <w:jc w:val="center"/>
              <w:rPr>
                <w:rFonts w:ascii="仿宋" w:hAnsi="仿宋" w:eastAsia="仿宋" w:cs="仿宋"/>
                <w:color w:val="000000"/>
                <w:szCs w:val="32"/>
              </w:rPr>
            </w:pPr>
            <w:r>
              <w:rPr>
                <w:rFonts w:hint="eastAsia" w:ascii="黑体" w:hAnsi="黑体" w:eastAsia="黑体" w:cs="黑体"/>
                <w:color w:val="000000"/>
                <w:szCs w:val="32"/>
              </w:rPr>
              <w:t>经费来源</w:t>
            </w:r>
          </w:p>
        </w:tc>
        <w:tc>
          <w:tcPr>
            <w:tcW w:w="1559" w:type="dxa"/>
            <w:vAlign w:val="center"/>
          </w:tcPr>
          <w:p>
            <w:pPr>
              <w:pStyle w:val="5"/>
              <w:widowControl/>
              <w:spacing w:before="0" w:beforeAutospacing="0" w:after="0" w:afterAutospacing="0" w:line="320" w:lineRule="exac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4" w:hRule="atLeast"/>
        </w:trPr>
        <w:tc>
          <w:tcPr>
            <w:tcW w:w="1668" w:type="dxa"/>
            <w:vMerge w:val="continue"/>
            <w:vAlign w:val="center"/>
          </w:tcPr>
          <w:p>
            <w:pPr>
              <w:pStyle w:val="5"/>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pPr>
              <w:pStyle w:val="5"/>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受委托执法机构执法人员情况</w:t>
            </w:r>
          </w:p>
        </w:tc>
        <w:tc>
          <w:tcPr>
            <w:tcW w:w="5953" w:type="dxa"/>
            <w:gridSpan w:val="6"/>
            <w:vAlign w:val="center"/>
          </w:tcPr>
          <w:p>
            <w:pPr>
              <w:pStyle w:val="5"/>
              <w:widowControl/>
              <w:spacing w:before="0" w:beforeAutospacing="0" w:after="0" w:afterAutospacing="0" w:line="320" w:lineRule="exact"/>
              <w:jc w:val="center"/>
              <w:rPr>
                <w:rFonts w:ascii="仿宋" w:hAnsi="仿宋" w:eastAsia="仿宋" w:cs="仿宋"/>
                <w:color w:val="000000"/>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1668" w:type="dxa"/>
            <w:vMerge w:val="continue"/>
            <w:vAlign w:val="center"/>
          </w:tcPr>
          <w:p>
            <w:pPr>
              <w:pStyle w:val="5"/>
              <w:widowControl/>
              <w:spacing w:before="0" w:beforeAutospacing="0" w:after="0" w:afterAutospacing="0" w:line="400" w:lineRule="exact"/>
              <w:jc w:val="center"/>
              <w:rPr>
                <w:rFonts w:ascii="仿宋" w:hAnsi="仿宋" w:eastAsia="仿宋" w:cs="仿宋"/>
                <w:color w:val="000000"/>
                <w:szCs w:val="32"/>
              </w:rPr>
            </w:pPr>
          </w:p>
        </w:tc>
        <w:tc>
          <w:tcPr>
            <w:tcW w:w="1559" w:type="dxa"/>
            <w:vAlign w:val="center"/>
          </w:tcPr>
          <w:p>
            <w:pPr>
              <w:pStyle w:val="5"/>
              <w:widowControl/>
              <w:spacing w:before="0" w:beforeAutospacing="0" w:after="0" w:afterAutospacing="0" w:line="320" w:lineRule="exact"/>
              <w:jc w:val="center"/>
              <w:rPr>
                <w:rFonts w:hint="eastAsia" w:ascii="黑体" w:hAnsi="黑体" w:eastAsia="黑体" w:cs="黑体"/>
                <w:color w:val="000000"/>
                <w:szCs w:val="32"/>
              </w:rPr>
            </w:pPr>
            <w:r>
              <w:rPr>
                <w:rFonts w:hint="eastAsia" w:ascii="黑体" w:hAnsi="黑体" w:eastAsia="黑体" w:cs="黑体"/>
                <w:color w:val="000000"/>
                <w:szCs w:val="32"/>
              </w:rPr>
              <w:t>委托执法</w:t>
            </w:r>
          </w:p>
          <w:p>
            <w:pPr>
              <w:pStyle w:val="5"/>
              <w:widowControl/>
              <w:spacing w:before="0" w:beforeAutospacing="0" w:after="0" w:afterAutospacing="0" w:line="320" w:lineRule="exact"/>
              <w:jc w:val="center"/>
              <w:rPr>
                <w:rFonts w:ascii="黑体" w:hAnsi="黑体" w:eastAsia="黑体" w:cs="黑体"/>
                <w:color w:val="000000"/>
                <w:szCs w:val="32"/>
              </w:rPr>
            </w:pPr>
            <w:r>
              <w:rPr>
                <w:rFonts w:hint="eastAsia" w:ascii="黑体" w:hAnsi="黑体" w:eastAsia="黑体" w:cs="黑体"/>
                <w:color w:val="000000"/>
                <w:szCs w:val="32"/>
              </w:rPr>
              <w:t>依据</w:t>
            </w:r>
          </w:p>
        </w:tc>
        <w:tc>
          <w:tcPr>
            <w:tcW w:w="5953" w:type="dxa"/>
            <w:gridSpan w:val="6"/>
            <w:vAlign w:val="center"/>
          </w:tcPr>
          <w:p>
            <w:pPr>
              <w:pStyle w:val="5"/>
              <w:widowControl/>
              <w:spacing w:before="0" w:beforeAutospacing="0" w:after="0" w:afterAutospacing="0" w:line="320" w:lineRule="exact"/>
              <w:jc w:val="center"/>
              <w:rPr>
                <w:rFonts w:ascii="仿宋" w:hAnsi="仿宋" w:eastAsia="仿宋" w:cs="仿宋"/>
                <w:color w:val="000000"/>
                <w:szCs w:val="32"/>
              </w:rPr>
            </w:pPr>
          </w:p>
        </w:tc>
      </w:tr>
    </w:tbl>
    <w:p>
      <w:pPr>
        <w:pStyle w:val="5"/>
        <w:widowControl/>
        <w:spacing w:before="0" w:beforeAutospacing="0" w:after="0" w:afterAutospacing="0"/>
        <w:jc w:val="both"/>
      </w:pPr>
      <w:r>
        <w:rPr>
          <w:rFonts w:hint="eastAsia" w:ascii="仿宋" w:hAnsi="仿宋" w:eastAsia="仿宋" w:cs="仿宋"/>
          <w:b/>
          <w:bCs/>
          <w:color w:val="000000"/>
          <w:szCs w:val="32"/>
        </w:rPr>
        <w:t>注：如部门存在委托执法情况，填写相应栏目信息；如不存在，则在相应栏目填“否”，委托执法其余信息为空。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037662"/>
    <w:multiLevelType w:val="singleLevel"/>
    <w:tmpl w:val="92037662"/>
    <w:lvl w:ilvl="0" w:tentative="0">
      <w:start w:val="1"/>
      <w:numFmt w:val="decimal"/>
      <w:suff w:val="nothing"/>
      <w:lvlText w:val="%1、"/>
      <w:lvlJc w:val="left"/>
    </w:lvl>
  </w:abstractNum>
  <w:abstractNum w:abstractNumId="1">
    <w:nsid w:val="7FC27B0E"/>
    <w:multiLevelType w:val="singleLevel"/>
    <w:tmpl w:val="7FC27B0E"/>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yZTZlOTVlZDg3MDA0ZjQ3MDUwYzAxZDNkM2E2ZWMifQ=="/>
  </w:docVars>
  <w:rsids>
    <w:rsidRoot w:val="403B6B20"/>
    <w:rsid w:val="02622F20"/>
    <w:rsid w:val="04647342"/>
    <w:rsid w:val="403B6B20"/>
    <w:rsid w:val="72DC1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99"/>
    <w:pPr>
      <w:spacing w:after="0" w:line="640" w:lineRule="exact"/>
      <w:ind w:left="0" w:leftChars="0" w:firstLine="420" w:firstLineChars="200"/>
    </w:pPr>
    <w:rPr>
      <w:rFonts w:ascii="仿宋_GB2312" w:eastAsia="仿宋_GB2312"/>
      <w:sz w:val="28"/>
      <w:szCs w:val="24"/>
    </w:rPr>
  </w:style>
  <w:style w:type="paragraph" w:styleId="3">
    <w:name w:val="Body Text Indent"/>
    <w:basedOn w:val="1"/>
    <w:unhideWhenUsed/>
    <w:qFormat/>
    <w:uiPriority w:val="0"/>
    <w:pPr>
      <w:spacing w:after="120"/>
      <w:ind w:left="420" w:leftChars="200"/>
    </w:p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100" w:beforeAutospacing="1" w:after="100" w:afterAutospacing="1"/>
      <w:jc w:val="left"/>
    </w:pPr>
    <w:rPr>
      <w:rFonts w:ascii="Calibri" w:hAnsi="Calibri"/>
      <w:kern w:val="0"/>
      <w:sz w:val="24"/>
      <w:szCs w:val="24"/>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2023-07-31T01:58:00Z</dcterms:created>
  <dc:creator>王林</dc:creator>
  <cp:lastModifiedBy>王林</cp:lastModifiedBy>
  <cp:lastPrinted>2023-07-31T08:03:00Z</cp:lastPrinted>
  <dcterms:modified xsi:type="dcterms:W3CDTF">2023-07-31T08:33:42Z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C5A26968ACDA448999492DC061747861_13</vt:lpwstr>
  </property>
</Properties>
</file>