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color w:val="000000" w:themeColor="text1"/>
          <w:sz w:val="36"/>
          <w:szCs w:val="36"/>
          <w:u w:val="none"/>
          <w14:textFill>
            <w14:solidFill>
              <w14:schemeClr w14:val="tx1"/>
            </w14:solidFill>
          </w14:textFill>
        </w:rPr>
      </w:pPr>
      <w:r>
        <w:rPr>
          <w:rFonts w:hint="eastAsia" w:ascii="方正小标宋简体" w:hAnsi="宋体" w:eastAsia="方正小标宋简体" w:cs="宋体"/>
          <w:color w:val="000000" w:themeColor="text1"/>
          <w:sz w:val="36"/>
          <w:szCs w:val="36"/>
          <w:u w:val="none"/>
          <w14:textFill>
            <w14:solidFill>
              <w14:schemeClr w14:val="tx1"/>
            </w14:solidFill>
          </w14:textFill>
        </w:rPr>
        <w:t>肥城市</w:t>
      </w:r>
      <w:r>
        <w:rPr>
          <w:rFonts w:hint="eastAsia" w:ascii="方正小标宋简体" w:hAnsi="宋体" w:eastAsia="方正小标宋简体" w:cs="宋体"/>
          <w:color w:val="000000" w:themeColor="text1"/>
          <w:sz w:val="36"/>
          <w:szCs w:val="36"/>
          <w:u w:val="none"/>
          <w:lang w:eastAsia="zh-CN"/>
          <w14:textFill>
            <w14:solidFill>
              <w14:schemeClr w14:val="tx1"/>
            </w14:solidFill>
          </w14:textFill>
        </w:rPr>
        <w:t>住房和城乡建设局（人民防空办公室）</w:t>
      </w:r>
      <w:r>
        <w:rPr>
          <w:rFonts w:hint="eastAsia" w:ascii="方正小标宋简体" w:hAnsi="宋体" w:eastAsia="方正小标宋简体" w:cs="宋体"/>
          <w:color w:val="000000" w:themeColor="text1"/>
          <w:sz w:val="36"/>
          <w:szCs w:val="36"/>
          <w:u w:val="none"/>
          <w14:textFill>
            <w14:solidFill>
              <w14:schemeClr w14:val="tx1"/>
            </w14:solidFill>
          </w14:textFill>
        </w:rPr>
        <w:t xml:space="preserve"> </w:t>
      </w:r>
    </w:p>
    <w:p>
      <w:pPr>
        <w:widowControl/>
        <w:spacing w:line="560" w:lineRule="exact"/>
        <w:jc w:val="center"/>
        <w:rPr>
          <w:rFonts w:ascii="方正小标宋简体" w:hAnsi="宋体" w:eastAsia="方正小标宋简体" w:cs="宋体"/>
          <w:color w:val="000000" w:themeColor="text1"/>
          <w:sz w:val="36"/>
          <w:szCs w:val="36"/>
          <w14:textFill>
            <w14:solidFill>
              <w14:schemeClr w14:val="tx1"/>
            </w14:solidFill>
          </w14:textFill>
        </w:rPr>
      </w:pPr>
      <w:r>
        <w:rPr>
          <w:rFonts w:hint="eastAsia" w:ascii="方正小标宋简体" w:hAnsi="宋体" w:eastAsia="方正小标宋简体" w:cs="宋体"/>
          <w:color w:val="000000" w:themeColor="text1"/>
          <w:sz w:val="36"/>
          <w:szCs w:val="36"/>
          <w14:textFill>
            <w14:solidFill>
              <w14:schemeClr w14:val="tx1"/>
            </w14:solidFill>
          </w14:textFill>
        </w:rPr>
        <w:t>行政执法主体资格清单</w:t>
      </w:r>
    </w:p>
    <w:p>
      <w:pPr>
        <w:rPr>
          <w:rFonts w:ascii="宋体" w:hAnsi="宋体" w:eastAsia="宋体" w:cs="宋体"/>
          <w:color w:val="000000" w:themeColor="text1"/>
          <w:sz w:val="24"/>
          <w:szCs w:val="24"/>
          <w14:textFill>
            <w14:solidFill>
              <w14:schemeClr w14:val="tx1"/>
            </w14:solidFill>
          </w14:textFill>
        </w:rPr>
      </w:pPr>
    </w:p>
    <w:tbl>
      <w:tblPr>
        <w:tblStyle w:val="5"/>
        <w:tblW w:w="94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1"/>
        <w:gridCol w:w="4563"/>
        <w:gridCol w:w="1566"/>
        <w:gridCol w:w="6"/>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1381" w:type="dxa"/>
            <w:tcBorders>
              <w:top w:val="single" w:color="auto" w:sz="8" w:space="0"/>
              <w:left w:val="single" w:color="auto" w:sz="8" w:space="0"/>
              <w:bottom w:val="single" w:color="000000" w:sz="6" w:space="0"/>
              <w:right w:val="single" w:color="000000" w:sz="6" w:space="0"/>
            </w:tcBorders>
            <w:vAlign w:val="center"/>
          </w:tcPr>
          <w:p>
            <w:pPr>
              <w:rPr>
                <w:rFonts w:hAnsi="宋体"/>
                <w:color w:val="000000" w:themeColor="text1"/>
                <w:szCs w:val="24"/>
                <w14:textFill>
                  <w14:solidFill>
                    <w14:schemeClr w14:val="tx1"/>
                  </w14:solidFill>
                </w14:textFill>
              </w:rPr>
            </w:pPr>
            <w:r>
              <w:rPr>
                <w:rFonts w:hint="eastAsia" w:hAnsi="Calibri"/>
                <w:color w:val="000000" w:themeColor="text1"/>
                <w:sz w:val="24"/>
                <w14:textFill>
                  <w14:solidFill>
                    <w14:schemeClr w14:val="tx1"/>
                  </w14:solidFill>
                </w14:textFill>
              </w:rPr>
              <w:t xml:space="preserve"> </w:t>
            </w:r>
            <w:r>
              <w:rPr>
                <w:rFonts w:hint="eastAsia" w:hAnsi="宋体"/>
                <w:color w:val="000000" w:themeColor="text1"/>
                <w14:textFill>
                  <w14:solidFill>
                    <w14:schemeClr w14:val="tx1"/>
                  </w14:solidFill>
                </w14:textFill>
              </w:rPr>
              <w:t>单位全称</w:t>
            </w:r>
          </w:p>
        </w:tc>
        <w:tc>
          <w:tcPr>
            <w:tcW w:w="8039" w:type="dxa"/>
            <w:gridSpan w:val="4"/>
            <w:tcBorders>
              <w:top w:val="single" w:color="auto" w:sz="8" w:space="0"/>
              <w:left w:val="single" w:color="000000" w:sz="6" w:space="0"/>
              <w:bottom w:val="single" w:color="000000" w:sz="6"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szCs w:val="24"/>
                <w14:textFill>
                  <w14:solidFill>
                    <w14:schemeClr w14:val="tx1"/>
                  </w14:solidFill>
                </w14:textFill>
              </w:rPr>
              <w:t>肥城市</w:t>
            </w:r>
            <w:r>
              <w:rPr>
                <w:rFonts w:hint="eastAsia" w:hAnsi="宋体"/>
                <w:color w:val="000000" w:themeColor="text1"/>
                <w:szCs w:val="24"/>
                <w:lang w:eastAsia="zh-CN"/>
                <w14:textFill>
                  <w14:solidFill>
                    <w14:schemeClr w14:val="tx1"/>
                  </w14:solidFill>
                </w14:textFill>
              </w:rPr>
              <w:t>住房和城乡建设局（人民防空办公室）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办公地址</w:t>
            </w:r>
          </w:p>
        </w:tc>
        <w:tc>
          <w:tcPr>
            <w:tcW w:w="4563"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int="eastAsia" w:hAnsi="宋体" w:eastAsia="仿宋_GB2312"/>
                <w:color w:val="000000" w:themeColor="text1"/>
                <w:szCs w:val="24"/>
                <w:lang w:val="en-US" w:eastAsia="zh-CN"/>
                <w14:textFill>
                  <w14:solidFill>
                    <w14:schemeClr w14:val="tx1"/>
                  </w14:solidFill>
                </w14:textFill>
              </w:rPr>
            </w:pPr>
            <w:r>
              <w:rPr>
                <w:rFonts w:hint="eastAsia" w:hAnsi="宋体"/>
                <w:color w:val="000000" w:themeColor="text1"/>
                <w:szCs w:val="24"/>
                <w:lang w:eastAsia="zh-CN"/>
                <w14:textFill>
                  <w14:solidFill>
                    <w14:schemeClr w14:val="tx1"/>
                  </w14:solidFill>
                </w14:textFill>
              </w:rPr>
              <w:t>肥城市向阳街</w:t>
            </w:r>
            <w:r>
              <w:rPr>
                <w:rFonts w:hint="eastAsia" w:hAnsi="宋体"/>
                <w:color w:val="000000" w:themeColor="text1"/>
                <w:szCs w:val="24"/>
                <w:lang w:val="en-US" w:eastAsia="zh-CN"/>
                <w14:textFill>
                  <w14:solidFill>
                    <w14:schemeClr w14:val="tx1"/>
                  </w14:solidFill>
                </w14:textFill>
              </w:rPr>
              <w:t>30号</w:t>
            </w:r>
          </w:p>
        </w:tc>
        <w:tc>
          <w:tcPr>
            <w:tcW w:w="1566"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邮编</w:t>
            </w:r>
          </w:p>
        </w:tc>
        <w:tc>
          <w:tcPr>
            <w:tcW w:w="1910" w:type="dxa"/>
            <w:gridSpan w:val="2"/>
            <w:tcBorders>
              <w:top w:val="single" w:color="000000" w:sz="6" w:space="0"/>
              <w:left w:val="single" w:color="000000" w:sz="6" w:space="0"/>
              <w:bottom w:val="single" w:color="000000" w:sz="6" w:space="0"/>
              <w:right w:val="single" w:color="auto" w:sz="8" w:space="0"/>
            </w:tcBorders>
            <w:vAlign w:val="center"/>
          </w:tcPr>
          <w:p>
            <w:pPr>
              <w:spacing w:line="260" w:lineRule="exact"/>
              <w:jc w:val="center"/>
              <w:rPr>
                <w:rFonts w:hint="eastAsia" w:hAnsi="宋体" w:eastAsia="仿宋_GB2312"/>
                <w:color w:val="000000" w:themeColor="text1"/>
                <w:szCs w:val="24"/>
                <w:lang w:val="en-US" w:eastAsia="zh-CN"/>
                <w14:textFill>
                  <w14:solidFill>
                    <w14:schemeClr w14:val="tx1"/>
                  </w14:solidFill>
                </w14:textFill>
              </w:rPr>
            </w:pPr>
            <w:r>
              <w:rPr>
                <w:rFonts w:hint="eastAsia" w:hAnsi="宋体"/>
                <w:color w:val="000000" w:themeColor="text1"/>
                <w:szCs w:val="24"/>
                <w:lang w:val="en-US" w:eastAsia="zh-CN"/>
                <w14:textFill>
                  <w14:solidFill>
                    <w14:schemeClr w14:val="tx1"/>
                  </w14:solidFill>
                </w14:textFill>
              </w:rPr>
              <w:t>271600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p>
        </w:tc>
        <w:tc>
          <w:tcPr>
            <w:tcW w:w="4563" w:type="dxa"/>
            <w:tcBorders>
              <w:top w:val="single" w:color="000000" w:sz="6" w:space="0"/>
              <w:left w:val="single" w:color="000000" w:sz="6" w:space="0"/>
              <w:bottom w:val="single" w:color="000000" w:sz="6" w:space="0"/>
              <w:right w:val="single" w:color="auto" w:sz="4" w:space="0"/>
            </w:tcBorders>
          </w:tcPr>
          <w:p>
            <w:pPr>
              <w:spacing w:line="440" w:lineRule="exact"/>
              <w:ind w:firstLine="440" w:firstLineChars="200"/>
              <w:jc w:val="center"/>
              <w:rPr>
                <w:rFonts w:hint="eastAsia" w:hAnsi="宋体" w:eastAsia="仿宋_GB2312"/>
                <w:color w:val="000000" w:themeColor="text1"/>
                <w:szCs w:val="32"/>
                <w:lang w:eastAsia="zh-CN"/>
                <w14:textFill>
                  <w14:solidFill>
                    <w14:schemeClr w14:val="tx1"/>
                  </w14:solidFill>
                </w14:textFill>
              </w:rPr>
            </w:pPr>
            <w:r>
              <w:rPr>
                <w:rFonts w:hint="eastAsia" w:hAnsi="宋体"/>
                <w:color w:val="000000" w:themeColor="text1"/>
                <w:szCs w:val="32"/>
                <w:lang w:eastAsia="zh-CN"/>
                <w14:textFill>
                  <w14:solidFill>
                    <w14:schemeClr w14:val="tx1"/>
                  </w14:solidFill>
                </w14:textFill>
              </w:rPr>
              <w:t>董庆焕</w:t>
            </w:r>
          </w:p>
        </w:tc>
        <w:tc>
          <w:tcPr>
            <w:tcW w:w="1572" w:type="dxa"/>
            <w:gridSpan w:val="2"/>
            <w:tcBorders>
              <w:top w:val="single" w:color="000000" w:sz="6" w:space="0"/>
              <w:left w:val="single" w:color="auto" w:sz="4" w:space="0"/>
              <w:bottom w:val="single" w:color="000000" w:sz="6" w:space="0"/>
              <w:right w:val="single" w:color="auto" w:sz="4" w:space="0"/>
            </w:tcBorders>
          </w:tcPr>
          <w:p>
            <w:pPr>
              <w:spacing w:line="440" w:lineRule="exact"/>
              <w:rPr>
                <w:rFonts w:hint="eastAsia"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投诉举报电话</w:t>
            </w:r>
          </w:p>
        </w:tc>
        <w:tc>
          <w:tcPr>
            <w:tcW w:w="1904" w:type="dxa"/>
            <w:tcBorders>
              <w:top w:val="single" w:color="000000" w:sz="6" w:space="0"/>
              <w:left w:val="single" w:color="auto" w:sz="4" w:space="0"/>
              <w:bottom w:val="single" w:color="000000" w:sz="6" w:space="0"/>
              <w:right w:val="single" w:color="auto" w:sz="8" w:space="0"/>
            </w:tcBorders>
          </w:tcPr>
          <w:p>
            <w:pPr>
              <w:spacing w:line="440" w:lineRule="exact"/>
              <w:jc w:val="both"/>
              <w:rPr>
                <w:rFonts w:hint="eastAsia" w:hAnsi="宋体" w:eastAsia="仿宋_GB2312"/>
                <w:color w:val="000000" w:themeColor="text1"/>
                <w:szCs w:val="32"/>
                <w:lang w:val="en-US" w:eastAsia="zh-CN"/>
                <w14:textFill>
                  <w14:solidFill>
                    <w14:schemeClr w14:val="tx1"/>
                  </w14:solidFill>
                </w14:textFill>
              </w:rPr>
            </w:pPr>
            <w:r>
              <w:rPr>
                <w:rFonts w:hint="eastAsia" w:hAnsi="宋体"/>
                <w:color w:val="000000" w:themeColor="text1"/>
                <w:szCs w:val="32"/>
                <w:lang w:val="en-US" w:eastAsia="zh-CN"/>
                <w14:textFill>
                  <w14:solidFill>
                    <w14:schemeClr w14:val="tx1"/>
                  </w14:solidFill>
                </w14:textFill>
              </w:rPr>
              <w:t>0538--3212759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机构性质</w:t>
            </w:r>
          </w:p>
        </w:tc>
        <w:tc>
          <w:tcPr>
            <w:tcW w:w="8039" w:type="dxa"/>
            <w:gridSpan w:val="4"/>
            <w:tcBorders>
              <w:top w:val="single" w:color="000000" w:sz="6" w:space="0"/>
              <w:left w:val="single" w:color="000000" w:sz="6" w:space="0"/>
              <w:bottom w:val="single" w:color="000000" w:sz="6" w:space="0"/>
              <w:right w:val="single" w:color="auto" w:sz="8" w:space="0"/>
            </w:tcBorders>
            <w:vAlign w:val="center"/>
          </w:tcPr>
          <w:p>
            <w:pPr>
              <w:spacing w:line="440" w:lineRule="exact"/>
              <w:ind w:firstLine="440" w:firstLineChars="200"/>
              <w:rPr>
                <w:rFonts w:hAnsi="宋体"/>
                <w:color w:val="000000" w:themeColor="text1"/>
                <w:szCs w:val="24"/>
                <w14:textFill>
                  <w14:solidFill>
                    <w14:schemeClr w14:val="tx1"/>
                  </w14:solidFill>
                </w14:textFill>
              </w:rPr>
            </w:pP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14:textFill>
                  <w14:solidFill>
                    <w14:schemeClr w14:val="tx1"/>
                  </w14:solidFill>
                </w14:textFill>
              </w:rPr>
              <w:t xml:space="preserve">行政机关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事业单位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内设机构  </w:t>
            </w:r>
            <w:r>
              <w:rPr>
                <w:rFonts w:hint="eastAsia" w:hAnsi="宋体"/>
                <w:color w:val="000000" w:themeColor="text1"/>
                <w:szCs w:val="36"/>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临时机构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exact"/>
          <w:jc w:val="center"/>
        </w:trPr>
        <w:tc>
          <w:tcPr>
            <w:tcW w:w="1381" w:type="dxa"/>
            <w:tcBorders>
              <w:top w:val="single" w:color="000000" w:sz="6" w:space="0"/>
              <w:left w:val="single" w:color="auto" w:sz="8" w:space="0"/>
              <w:bottom w:val="single" w:color="auto" w:sz="4"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执法主体</w:t>
            </w:r>
          </w:p>
          <w:p>
            <w:pPr>
              <w:spacing w:line="260" w:lineRule="exact"/>
              <w:jc w:val="center"/>
              <w:rPr>
                <w:rFonts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类别</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sym w:font="Wingdings 2" w:char="0052"/>
            </w:r>
            <w:r>
              <w:rPr>
                <w:rFonts w:hint="eastAsia" w:hAnsi="宋体" w:cs="宋体"/>
                <w:color w:val="000000" w:themeColor="text1"/>
                <w:szCs w:val="21"/>
                <w14:textFill>
                  <w14:solidFill>
                    <w14:schemeClr w14:val="tx1"/>
                  </w14:solidFill>
                </w14:textFill>
              </w:rPr>
              <w:t>法定行政机关          □法律、法规授权的组织</w:t>
            </w:r>
          </w:p>
          <w:p>
            <w:pPr>
              <w:spacing w:line="260" w:lineRule="exact"/>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□依法受委托执法的组织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71" w:hRule="atLeas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执法职权</w:t>
            </w:r>
          </w:p>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类型</w:t>
            </w:r>
          </w:p>
        </w:tc>
        <w:tc>
          <w:tcPr>
            <w:tcW w:w="8039" w:type="dxa"/>
            <w:gridSpan w:val="4"/>
            <w:tcBorders>
              <w:top w:val="single" w:color="000000" w:sz="6" w:space="0"/>
              <w:left w:val="single" w:color="000000" w:sz="6" w:space="0"/>
              <w:bottom w:val="single" w:color="000000" w:sz="4" w:space="0"/>
              <w:right w:val="single" w:color="auto" w:sz="8" w:space="0"/>
            </w:tcBorders>
            <w:vAlign w:val="center"/>
          </w:tcPr>
          <w:p>
            <w:pPr>
              <w:spacing w:line="260" w:lineRule="exact"/>
              <w:rPr>
                <w:rFonts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 xml:space="preserve">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 xml:space="preserve">行政许可  □行政处罚  □行政强制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行政征收</w:t>
            </w:r>
          </w:p>
          <w:p>
            <w:pPr>
              <w:spacing w:line="260" w:lineRule="exact"/>
              <w:rPr>
                <w:rFonts w:hAnsi="宋体"/>
                <w:color w:val="000000" w:themeColor="text1"/>
                <w:szCs w:val="24"/>
                <w:lang w:val="en-US"/>
                <w14:textFill>
                  <w14:solidFill>
                    <w14:schemeClr w14:val="tx1"/>
                  </w14:solidFill>
                </w14:textFill>
              </w:rPr>
            </w:pPr>
            <w:r>
              <w:rPr>
                <w:rFonts w:hint="eastAsia" w:hAnsi="宋体"/>
                <w:color w:val="000000" w:themeColor="text1"/>
                <w:szCs w:val="32"/>
                <w14:textFill>
                  <w14:solidFill>
                    <w14:schemeClr w14:val="tx1"/>
                  </w14:solidFill>
                </w14:textFill>
              </w:rPr>
              <w:t xml:space="preserve">    □行政征用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 xml:space="preserve">行政检查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其他行政执法行为</w:t>
            </w:r>
            <w:r>
              <w:rPr>
                <w:rFonts w:hint="eastAsia" w:hAnsi="宋体"/>
                <w:color w:val="000000" w:themeColor="text1"/>
                <w:szCs w:val="21"/>
                <w:u w:val="single"/>
                <w14:textFill>
                  <w14:solidFill>
                    <w14:schemeClr w14:val="tx1"/>
                  </w14:solidFill>
                </w14:textFill>
              </w:rPr>
              <w:t xml:space="preserve">  </w:t>
            </w:r>
            <w:r>
              <w:rPr>
                <w:rFonts w:hint="eastAsia" w:hAnsi="宋体"/>
                <w:color w:val="000000" w:themeColor="text1"/>
                <w:szCs w:val="21"/>
                <w:u w:val="single"/>
                <w:lang w:eastAsia="zh-CN"/>
                <w14:textFill>
                  <w14:solidFill>
                    <w14:schemeClr w14:val="tx1"/>
                  </w14:solidFill>
                </w14:textFill>
              </w:rPr>
              <w:t>行政奖励、行政确认</w:t>
            </w:r>
            <w:r>
              <w:rPr>
                <w:rFonts w:hint="eastAsia" w:hAnsi="宋体"/>
                <w:color w:val="000000" w:themeColor="text1"/>
                <w:szCs w:val="21"/>
                <w:u w:val="single"/>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执法队伍编制状况</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jc w:val="center"/>
              <w:rPr>
                <w:rFonts w:hint="eastAsia" w:hAnsi="宋体"/>
                <w:b/>
                <w:color w:val="000000" w:themeColor="text1"/>
                <w:szCs w:val="21"/>
                <w14:textFill>
                  <w14:solidFill>
                    <w14:schemeClr w14:val="tx1"/>
                  </w14:solidFill>
                </w14:textFill>
              </w:rPr>
            </w:pP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 xml:space="preserve">行政编制   □事业编制  □企业编制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经费来源</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Wingdings 2" w:char="0052"/>
            </w:r>
            <w:r>
              <w:rPr>
                <w:rFonts w:hint="eastAsia" w:hAnsi="宋体"/>
                <w:color w:val="000000" w:themeColor="text1"/>
                <w:szCs w:val="21"/>
                <w14:textFill>
                  <w14:solidFill>
                    <w14:schemeClr w14:val="tx1"/>
                  </w14:solidFill>
                </w14:textFill>
              </w:rPr>
              <w:t>财政全额拨款</w:t>
            </w:r>
            <w:r>
              <w:rPr>
                <w:rFonts w:hint="eastAsia" w:hAnsi="Arial" w:cs="Arial"/>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□财政差额拨款   □自收自支   □其他</w:t>
            </w:r>
            <w:r>
              <w:rPr>
                <w:rFonts w:hint="eastAsia" w:hAnsi="宋体"/>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381" w:type="dxa"/>
            <w:tcBorders>
              <w:top w:val="single" w:color="auto" w:sz="4" w:space="0"/>
              <w:left w:val="single" w:color="auto" w:sz="8" w:space="0"/>
              <w:bottom w:val="single" w:color="000000" w:sz="4"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执法依据</w:t>
            </w:r>
          </w:p>
        </w:tc>
        <w:tc>
          <w:tcPr>
            <w:tcW w:w="8039" w:type="dxa"/>
            <w:gridSpan w:val="4"/>
            <w:tcBorders>
              <w:top w:val="single" w:color="auto" w:sz="4" w:space="0"/>
              <w:left w:val="single" w:color="000000" w:sz="6" w:space="0"/>
              <w:bottom w:val="single" w:color="000000" w:sz="4" w:space="0"/>
              <w:right w:val="single" w:color="auto" w:sz="8" w:space="0"/>
            </w:tcBorders>
            <w:vAlign w:val="center"/>
          </w:tcPr>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24"/>
                <w14:textFill>
                  <w14:solidFill>
                    <w14:schemeClr w14:val="tx1"/>
                  </w14:solidFill>
                </w14:textFill>
              </w:rPr>
              <w:t xml:space="preserve"> </w:t>
            </w:r>
            <w:r>
              <w:rPr>
                <w:rFonts w:hint="eastAsia" w:hAnsi="Calibri"/>
                <w:color w:val="000000" w:themeColor="text1"/>
                <w:sz w:val="15"/>
                <w:szCs w:val="15"/>
                <w14:textFill>
                  <w14:solidFill>
                    <w14:schemeClr w14:val="tx1"/>
                  </w14:solidFill>
                </w14:textFill>
              </w:rPr>
              <w:t>《城镇排水与污水处理条例》（2013年9月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消防法》（2009年5月1日施行，2019年4月23日修正）第五十八条：“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二）依法应当进行消防验收的建设工程，未经消防验收或者消防验收不合格，擅自投入使用的；（三）本法第十三条规定的其他建设工程验收后经依法抽查不合格，不停止使用的；（四）公众聚集场所未经消防安全检查或者经检查不符合消防安全要求，擅自投入使用、营业的。建设单位未依照本法规定在验收后报住房和城乡建设主管部门备案的，由住房和城乡建设主管部门责令改正，处五千元以下罚款。”</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《污水处理费征收使用管理办法》（财税〔2014〕151号）第七条：“ 凡设区的市、县（市）和建制镇已建成污水处理厂的，均应当征收污水处理费；”第十三条：“使用公共供水的单位和个人，其污水处理费由城镇排水主管部门委托公共供水企业在收取水费时一并代征，并在发票中单独列明污水处理费的缴款数额。……公共供水企业代征的污水处理费，由城镇排水主管部门征缴入库。”第十四条：“ 使用自备水源的单位和个人，其污水处理费由城镇排水主管部门或其委托的单位征收。”</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山东省供热条例》（2014年3月通过）第五条：“省、设区的市、县（市）住房城乡建设主管部门或者县级以上人民政府确定的供热管理部门（以下统称供热主管部门）负责本行政区域内供热及相关活动的监督管理工作。”</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《城市建设档案管理规定》（建设部令第90号，住建部令第47号修订，2019年3月13日实施）第十一条：“建设行政主管部门对在城建档案工作中做出显著成绩的单位和个人，应当给予表彰和奖励。”</w:t>
            </w:r>
          </w:p>
          <w:p>
            <w:pPr>
              <w:wordWrap w:val="0"/>
              <w:spacing w:line="400" w:lineRule="exact"/>
              <w:ind w:right="240"/>
              <w:jc w:val="both"/>
              <w:rPr>
                <w:rFonts w:hint="eastAsia" w:hAnsi="Calibri"/>
                <w:color w:val="000000" w:themeColor="text1"/>
                <w:sz w:val="15"/>
                <w:szCs w:val="15"/>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exact"/>
          <w:jc w:val="center"/>
        </w:trPr>
        <w:tc>
          <w:tcPr>
            <w:tcW w:w="1381" w:type="dxa"/>
            <w:tcBorders>
              <w:top w:val="single" w:color="auto" w:sz="4" w:space="0"/>
              <w:left w:val="single" w:color="auto" w:sz="8" w:space="0"/>
              <w:bottom w:val="single" w:color="auto" w:sz="8"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备注</w:t>
            </w:r>
          </w:p>
        </w:tc>
        <w:tc>
          <w:tcPr>
            <w:tcW w:w="8039" w:type="dxa"/>
            <w:gridSpan w:val="4"/>
            <w:tcBorders>
              <w:top w:val="single" w:color="auto" w:sz="4" w:space="0"/>
              <w:left w:val="single" w:color="000000" w:sz="6" w:space="0"/>
              <w:bottom w:val="single" w:color="auto" w:sz="8" w:space="0"/>
              <w:right w:val="single" w:color="auto" w:sz="8" w:space="0"/>
            </w:tcBorders>
            <w:vAlign w:val="center"/>
          </w:tcPr>
          <w:p>
            <w:pPr>
              <w:wordWrap w:val="0"/>
              <w:spacing w:line="400" w:lineRule="exact"/>
              <w:ind w:right="840"/>
              <w:rPr>
                <w:rFonts w:hint="eastAsia" w:eastAsia="仿宋_GB2312"/>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肥城市住建领域行政处罚、行政强制执法权由肥城市综合行政执法局集中行使。</w:t>
            </w:r>
          </w:p>
        </w:tc>
      </w:tr>
    </w:tbl>
    <w:p>
      <w:pPr>
        <w:spacing w:line="300" w:lineRule="exact"/>
        <w:ind w:firstLine="440" w:firstLineChars="200"/>
        <w:rPr>
          <w:rFonts w:ascii="仿宋" w:hAnsi="仿宋" w:eastAsia="仿宋" w:cs="Times New Roman"/>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填表说明：</w:t>
      </w:r>
    </w:p>
    <w:p>
      <w:pPr>
        <w:spacing w:line="300" w:lineRule="exact"/>
        <w:ind w:firstLine="4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1.执法职权类型按照本单位实际行使的行政执法权类别填写，没有的在备注栏填无。有本表未列明的其他执法职权类型的，写明实际执法类型名称。</w:t>
      </w:r>
    </w:p>
    <w:p>
      <w:pPr>
        <w:spacing w:line="300" w:lineRule="exact"/>
        <w:ind w:firstLine="4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2.执法依据应当根据执法职权类型，分别填写相关依据。依据应当为规章以上的依据，列明至少一项依据名称和具体条款内容。</w:t>
      </w:r>
    </w:p>
    <w:p>
      <w:pPr>
        <w:spacing w:line="300" w:lineRule="exact"/>
        <w:ind w:firstLine="4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3.行政执法权已经依法委托其他组织实施的，应在备注中写明受委托组织名称、委托依据名称和具体条款内容。委托依据仅限于法律、法规或规章。</w:t>
      </w:r>
    </w:p>
    <w:p>
      <w:pPr>
        <w:spacing w:line="0" w:lineRule="atLeast"/>
        <w:ind w:firstLine="440" w:firstLineChars="200"/>
        <w:rPr>
          <w:rFonts w:ascii="Times New Roman" w:hAnsi="Times New Roman" w:eastAsia="宋体"/>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4.行政执法机关有所属其他行政执法主体的，应当分别填报。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5"/>
    <w:rsid w:val="000F3A4C"/>
    <w:rsid w:val="001C6258"/>
    <w:rsid w:val="00310B51"/>
    <w:rsid w:val="004473B5"/>
    <w:rsid w:val="004C79F4"/>
    <w:rsid w:val="00552631"/>
    <w:rsid w:val="006512B9"/>
    <w:rsid w:val="00835A76"/>
    <w:rsid w:val="00837BAE"/>
    <w:rsid w:val="008A1338"/>
    <w:rsid w:val="009C55B4"/>
    <w:rsid w:val="00A9753A"/>
    <w:rsid w:val="00BF0515"/>
    <w:rsid w:val="00CF53BF"/>
    <w:rsid w:val="00F505C0"/>
    <w:rsid w:val="09A12DF2"/>
    <w:rsid w:val="3C3B0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3">
    <w:name w:val="header"/>
    <w:basedOn w:val="1"/>
    <w:link w:val="6"/>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85</Words>
  <Characters>490</Characters>
  <Lines>4</Lines>
  <Paragraphs>1</Paragraphs>
  <TotalTime>12</TotalTime>
  <ScaleCrop>false</ScaleCrop>
  <LinksUpToDate>false</LinksUpToDate>
  <CharactersWithSpaces>574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2020-08-31T07:56:00Z</dcterms:created>
  <dc:creator>李国芳</dc:creator>
  <cp:lastModifiedBy>Administrator</cp:lastModifiedBy>
  <dcterms:modified xsi:type="dcterms:W3CDTF">2020-09-04T01:20:56Z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