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3" w:name="_GoBack"/>
      <w:r>
        <w:rPr>
          <w:rFonts w:hint="eastAsia" w:ascii="方正小标宋简体" w:eastAsia="方正小标宋简体"/>
          <w:sz w:val="44"/>
          <w:szCs w:val="44"/>
        </w:rPr>
        <w:t>养老服务机构行政处罚事项及标准</w:t>
      </w:r>
      <w:bookmarkEnd w:id="3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处罚事项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养老服务机构行政处罚事项</w:t>
      </w:r>
    </w:p>
    <w:p>
      <w:pPr>
        <w:ind w:firstLine="638"/>
        <w:rPr>
          <w:rFonts w:hint="eastAsia" w:ascii="楷体_GB2312" w:hAnsi="黑体" w:eastAsia="楷体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处罚依据及标准</w:t>
      </w:r>
    </w:p>
    <w:p>
      <w:pPr>
        <w:ind w:firstLine="638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（一）《山东省养老服务条例》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第六十九条  违反本条例规定，从事居家社区养老服务的组织未按照规定的标准提供服务的，由县级以上人民政府民政部门责令限期改正；逾期不改正的，处一千元以上三千元以下的罚款；情节严重的，处三千元以上一万元以下的罚款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第七十条  违反本条例规定，养老机构有下列行为之一的，由县级以上人民政府民政部门责令限期改正；情节严重的，处一万元以上三万元以下的罚款；可能危及人身健康和生命财产安全的，责令停业整顿，并处三万元以上十万元以下的罚款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未与老年人或者其代理人订立养老服务合同的；　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未按照国家和省规定的技术标准和规范开展服务的；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3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暂停、终止养老服务时未妥善安置入住老年人的；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4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有歧视、侮辱、虐待、遗弃老年人或者其他侵犯老年人合法权益行为的；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5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法律、法规规定的其他违法行为。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对有前款所列行为之一的养老机构，有关部门可以中止或者取消扶持、优惠待遇。</w:t>
      </w:r>
    </w:p>
    <w:p>
      <w:pPr>
        <w:ind w:firstLine="638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（二）《养老机构管理办法》</w:t>
      </w:r>
    </w:p>
    <w:p>
      <w:pPr>
        <w:ind w:firstLine="63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第四十六条 养老机构有下列行为之一的，由民政部门责令改正，给予警告；情节严重的，处以3万元以下的罚款：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未建立入院评估制度或者未按照规定开展评估活动的；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未与老年人或者其代理人签订服务协议，或者未按照协议约定提供服务的；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未按照有关强制性国家标准提供服务的；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工作人员的资格不符合规定的；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利用养老机构的房屋、场地、设施开展与养老服务宗旨无关的活动的；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未依照本办法规定预防和处置突发事件的；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歧视、侮辱、虐待老年人以及其他侵害老年人人身和财产权益行为的；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向负责监督检查的民政部门隐瞒有关情况、提供虚假材料或者拒绝提供反映其活动情况真实材料的；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法律、法规、规章规定的其他违法行为。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养老机构及其工作人员违反本办法有关规定，构成违反治安管理行为的，依法给予治安管理处罚；构成犯罪的，依法追究刑事责任。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Toc428889685"/>
      <w:bookmarkEnd w:id="0"/>
      <w:bookmarkStart w:id="1" w:name="_Toc428890982"/>
      <w:bookmarkEnd w:id="1"/>
      <w:bookmarkStart w:id="2" w:name="_Toc508722461"/>
      <w:bookmarkEnd w:id="2"/>
      <w:r>
        <w:rPr>
          <w:rFonts w:hint="eastAsia" w:ascii="黑体" w:hAnsi="黑体" w:eastAsia="黑体"/>
          <w:bCs/>
          <w:sz w:val="32"/>
          <w:szCs w:val="32"/>
        </w:rPr>
        <w:t>三、监督电话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lang w:eastAsia="zh-CN"/>
        </w:rPr>
        <w:t>肥城市民政局养老服务和社会救助科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eastAsia="zh-CN"/>
        </w:rPr>
        <w:t>肥城市新城街道泰西大街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012号903室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0538-3229781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行政复议、行政诉讼电话</w:t>
      </w:r>
    </w:p>
    <w:p>
      <w:pPr>
        <w:numPr>
          <w:numId w:val="0"/>
        </w:num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行政复议电话：0538-3212612</w:t>
      </w:r>
    </w:p>
    <w:p>
      <w:pPr>
        <w:numPr>
          <w:numId w:val="0"/>
        </w:num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行政诉讼电话：0538-3220938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76E90"/>
    <w:multiLevelType w:val="singleLevel"/>
    <w:tmpl w:val="13976E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ZTc5ZWZiYzc5NTE3ZTY5NTBkMTc3MDgyOTBjMGMifQ=="/>
  </w:docVars>
  <w:rsids>
    <w:rsidRoot w:val="003045E2"/>
    <w:rsid w:val="000D3DA8"/>
    <w:rsid w:val="003045E2"/>
    <w:rsid w:val="07BF6F86"/>
    <w:rsid w:val="157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830</Words>
  <Characters>859</Characters>
  <Lines>6</Lines>
  <Paragraphs>1</Paragraphs>
  <TotalTime>5</TotalTime>
  <ScaleCrop>false</ScaleCrop>
  <LinksUpToDate>false</LinksUpToDate>
  <CharactersWithSpaces>870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2021-04-28T03:37:00Z</dcterms:created>
  <dc:creator>dell</dc:creator>
  <cp:lastModifiedBy>Administrator</cp:lastModifiedBy>
  <dcterms:modified xsi:type="dcterms:W3CDTF">2022-12-02T07:56:10Z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94E49AD91B504AD1BE42375D525851D1</vt:lpwstr>
  </property>
</Properties>
</file>