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度行政许可情况统计表</w:t>
      </w:r>
    </w:p>
    <w:p>
      <w:pPr>
        <w:spacing w:line="480" w:lineRule="exact"/>
        <w:jc w:val="center"/>
        <w:rPr>
          <w:rFonts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sz w:val="20"/>
              </w:rPr>
            </w:pPr>
            <w:r>
              <w:rPr>
                <w:sz w:val="20"/>
              </w:rPr>
              <w:t>此处填报数据为：行政许可机关作出许可决定的数量</w:t>
            </w:r>
          </w:p>
        </w:tc>
        <w:tc>
          <w:tcPr>
            <w:tcW w:w="2409" w:type="dxa"/>
            <w:vAlign w:val="center"/>
          </w:tcPr>
          <w:p>
            <w:pPr>
              <w:spacing w:line="240" w:lineRule="exact"/>
              <w:jc w:val="center"/>
              <w:rPr>
                <w:sz w:val="20"/>
              </w:rPr>
            </w:pPr>
            <w:r>
              <w:t>此处填报数据为：行政许可机关作出不予许可决定的数量</w:t>
            </w:r>
          </w:p>
        </w:tc>
        <w:tc>
          <w:tcPr>
            <w:tcW w:w="3119" w:type="dxa"/>
            <w:vAlign w:val="center"/>
          </w:tcPr>
          <w:p>
            <w:pPr>
              <w:spacing w:line="240" w:lineRule="exact"/>
              <w:jc w:val="center"/>
              <w:rPr>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849"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肥城市文化和旅游局</w:t>
            </w:r>
          </w:p>
        </w:tc>
        <w:tc>
          <w:tcPr>
            <w:tcW w:w="2221" w:type="dxa"/>
            <w:vAlign w:val="center"/>
          </w:tcPr>
          <w:p>
            <w:pPr>
              <w:jc w:val="center"/>
              <w:rPr>
                <w:rFonts w:hint="eastAsia" w:eastAsia="宋体"/>
                <w:lang w:val="en-US" w:eastAsia="zh-CN"/>
              </w:rPr>
            </w:pPr>
            <w:r>
              <w:rPr>
                <w:rFonts w:hint="eastAsia"/>
                <w:lang w:val="en-US" w:eastAsia="zh-CN"/>
              </w:rPr>
              <w:t>0</w:t>
            </w:r>
          </w:p>
        </w:tc>
        <w:tc>
          <w:tcPr>
            <w:tcW w:w="2268" w:type="dxa"/>
            <w:vAlign w:val="center"/>
          </w:tcPr>
          <w:p>
            <w:pPr>
              <w:jc w:val="center"/>
              <w:rPr>
                <w:rFonts w:hint="eastAsia" w:eastAsia="宋体"/>
                <w:lang w:val="en-US" w:eastAsia="zh-CN"/>
              </w:rPr>
            </w:pPr>
            <w:r>
              <w:rPr>
                <w:rFonts w:hint="eastAsia"/>
                <w:lang w:val="en-US" w:eastAsia="zh-CN"/>
              </w:rPr>
              <w:t>0</w:t>
            </w:r>
          </w:p>
        </w:tc>
        <w:tc>
          <w:tcPr>
            <w:tcW w:w="2409" w:type="dxa"/>
            <w:vAlign w:val="center"/>
          </w:tcPr>
          <w:p>
            <w:pPr>
              <w:jc w:val="center"/>
              <w:rPr>
                <w:rFonts w:hint="eastAsia" w:eastAsia="宋体"/>
                <w:lang w:val="en-US" w:eastAsia="zh-CN"/>
              </w:rPr>
            </w:pPr>
            <w:r>
              <w:rPr>
                <w:rFonts w:hint="eastAsia"/>
                <w:lang w:val="en-US" w:eastAsia="zh-CN"/>
              </w:rPr>
              <w:t>0</w:t>
            </w:r>
          </w:p>
        </w:tc>
        <w:tc>
          <w:tcPr>
            <w:tcW w:w="3119" w:type="dxa"/>
            <w:vAlign w:val="center"/>
          </w:tcPr>
          <w:p>
            <w:pPr>
              <w:jc w:val="center"/>
              <w:rPr>
                <w:rFonts w:hint="eastAsia" w:eastAsia="宋体"/>
                <w:lang w:val="en-US" w:eastAsia="zh-CN"/>
              </w:rPr>
            </w:pPr>
            <w:r>
              <w:rPr>
                <w:rFonts w:hint="eastAsia"/>
                <w:lang w:val="en-US" w:eastAsia="zh-CN"/>
              </w:rPr>
              <w:t>0</w:t>
            </w:r>
          </w:p>
        </w:tc>
      </w:tr>
    </w:tbl>
    <w:p>
      <w:pPr>
        <w:spacing w:line="320" w:lineRule="exact"/>
      </w:pPr>
      <w:r>
        <w:rPr>
          <w:rFonts w:hint="eastAsia" w:ascii="黑体" w:eastAsia="黑体" w:cs="黑体"/>
        </w:rPr>
        <w:t>填表说明</w:t>
      </w:r>
      <w:r>
        <w:rPr>
          <w:rFonts w:hint="eastAsia" w:ascii="黑体" w:eastAsia="黑体" w:cs="黑体"/>
          <w:sz w:val="22"/>
          <w:szCs w:val="22"/>
        </w:rPr>
        <w:t>：</w:t>
      </w:r>
      <w:r>
        <w:t>1.统计范围为202</w:t>
      </w:r>
      <w:r>
        <w:rPr>
          <w:rFonts w:hint="eastAsia"/>
          <w:lang w:val="en-US" w:eastAsia="zh-CN"/>
        </w:rPr>
        <w:t>3</w:t>
      </w:r>
      <w:r>
        <w:t>年度1月1日至12月31日。</w:t>
      </w:r>
    </w:p>
    <w:p>
      <w:pPr>
        <w:spacing w:line="320" w:lineRule="exact"/>
        <w:ind w:firstLine="1050" w:firstLineChars="500"/>
      </w:pPr>
      <w:r>
        <w:rPr>
          <w:rFonts w:hint="eastAsia"/>
        </w:rPr>
        <w:t>2.</w:t>
      </w:r>
      <w:r>
        <w:t xml:space="preserve"> 准予变更、延续和不予变更、延续的数量，分别计入“许可数量、不予许可数量”。</w:t>
      </w: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200" w:firstLineChars="500"/>
        <w:rPr>
          <w:rFonts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499" w:type="dxa"/>
            <w:gridSpan w:val="16"/>
            <w:vAlign w:val="center"/>
          </w:tcPr>
          <w:p>
            <w:pPr>
              <w:spacing w:line="320" w:lineRule="exact"/>
              <w:jc w:val="center"/>
              <w:rPr>
                <w:rFonts w:ascii="黑体" w:eastAsia="黑体" w:cs="黑体"/>
                <w:sz w:val="28"/>
                <w:szCs w:val="28"/>
              </w:rPr>
            </w:pPr>
            <w:r>
              <w:rPr>
                <w:rFonts w:hint="eastAsia" w:ascii="黑体" w:eastAsia="黑体" w:cs="黑体"/>
                <w:sz w:val="28"/>
                <w:szCs w:val="28"/>
              </w:rPr>
              <w:t>行政处罚实施数量</w:t>
            </w:r>
          </w:p>
        </w:tc>
        <w:tc>
          <w:tcPr>
            <w:tcW w:w="648" w:type="dxa"/>
            <w:vMerge w:val="restart"/>
            <w:vAlign w:val="center"/>
          </w:tcPr>
          <w:p>
            <w:pPr>
              <w:spacing w:line="240" w:lineRule="exact"/>
              <w:jc w:val="center"/>
              <w:rPr>
                <w:rFonts w:ascii="黑体" w:eastAsia="黑体" w:cs="黑体"/>
              </w:rPr>
            </w:pPr>
            <w:r>
              <w:rPr>
                <w:rFonts w:hint="eastAsia" w:ascii="黑体" w:eastAsia="黑体" w:cs="黑体"/>
              </w:rPr>
              <w:t>罚没金额</w:t>
            </w:r>
          </w:p>
          <w:p>
            <w:pPr>
              <w:spacing w:line="240" w:lineRule="exact"/>
              <w:jc w:val="center"/>
              <w:rPr>
                <w:rFonts w:ascii="黑体" w:eastAsia="黑体" w:cs="黑体"/>
              </w:rPr>
            </w:pPr>
            <w:r>
              <w:rPr>
                <w:rFonts w:hint="eastAsia" w:ascii="黑体" w:eastAsia="黑体" w:cs="黑体"/>
              </w:rPr>
              <w:t>（万元）</w:t>
            </w:r>
          </w:p>
        </w:tc>
        <w:tc>
          <w:tcPr>
            <w:tcW w:w="2694" w:type="dxa"/>
            <w:gridSpan w:val="4"/>
            <w:vAlign w:val="center"/>
          </w:tcPr>
          <w:p>
            <w:pPr>
              <w:spacing w:line="320" w:lineRule="exact"/>
              <w:jc w:val="center"/>
              <w:rPr>
                <w:rFonts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724" w:type="dxa"/>
            <w:vAlign w:val="center"/>
          </w:tcPr>
          <w:p>
            <w:pPr>
              <w:spacing w:line="240" w:lineRule="exact"/>
              <w:jc w:val="center"/>
              <w:rPr>
                <w:rFonts w:ascii="黑体" w:eastAsia="黑体" w:cs="黑体"/>
              </w:rPr>
            </w:pPr>
            <w:r>
              <w:rPr>
                <w:rFonts w:hint="eastAsia" w:ascii="黑体" w:eastAsia="黑体" w:cs="黑体"/>
              </w:rPr>
              <w:t>立案数量</w:t>
            </w:r>
          </w:p>
        </w:tc>
        <w:tc>
          <w:tcPr>
            <w:tcW w:w="762" w:type="dxa"/>
            <w:vAlign w:val="center"/>
          </w:tcPr>
          <w:p>
            <w:pPr>
              <w:spacing w:line="240" w:lineRule="exact"/>
              <w:jc w:val="center"/>
              <w:rPr>
                <w:rFonts w:ascii="黑体" w:eastAsia="黑体" w:cs="黑体"/>
              </w:rPr>
            </w:pPr>
            <w:r>
              <w:rPr>
                <w:rFonts w:hint="eastAsia" w:ascii="黑体" w:eastAsia="黑体" w:cs="黑体"/>
              </w:rPr>
              <w:t>结案数量</w:t>
            </w:r>
          </w:p>
        </w:tc>
        <w:tc>
          <w:tcPr>
            <w:tcW w:w="413" w:type="dxa"/>
            <w:vAlign w:val="center"/>
          </w:tcPr>
          <w:p>
            <w:pPr>
              <w:spacing w:line="240" w:lineRule="exact"/>
              <w:jc w:val="center"/>
              <w:rPr>
                <w:rFonts w:ascii="黑体" w:eastAsia="黑体" w:cs="黑体"/>
              </w:rPr>
            </w:pPr>
            <w:r>
              <w:rPr>
                <w:rFonts w:hint="eastAsia" w:ascii="黑体" w:eastAsia="黑体" w:cs="黑体"/>
              </w:rPr>
              <w:t>警告</w:t>
            </w:r>
          </w:p>
        </w:tc>
        <w:tc>
          <w:tcPr>
            <w:tcW w:w="412" w:type="dxa"/>
            <w:vAlign w:val="center"/>
          </w:tcPr>
          <w:p>
            <w:pPr>
              <w:spacing w:line="240" w:lineRule="exact"/>
              <w:jc w:val="center"/>
              <w:rPr>
                <w:rFonts w:ascii="黑体" w:eastAsia="黑体" w:cs="黑体"/>
              </w:rPr>
            </w:pPr>
            <w:r>
              <w:rPr>
                <w:rFonts w:hint="eastAsia" w:ascii="黑体" w:eastAsia="黑体" w:cs="黑体"/>
              </w:rPr>
              <w:t>通报批评</w:t>
            </w:r>
          </w:p>
        </w:tc>
        <w:tc>
          <w:tcPr>
            <w:tcW w:w="587" w:type="dxa"/>
            <w:vAlign w:val="center"/>
          </w:tcPr>
          <w:p>
            <w:pPr>
              <w:spacing w:line="240" w:lineRule="exact"/>
              <w:jc w:val="center"/>
              <w:rPr>
                <w:rFonts w:ascii="黑体" w:eastAsia="黑体" w:cs="黑体"/>
              </w:rPr>
            </w:pPr>
            <w:r>
              <w:rPr>
                <w:rFonts w:hint="eastAsia" w:ascii="黑体" w:eastAsia="黑体" w:cs="黑体"/>
              </w:rPr>
              <w:t>罚款</w:t>
            </w:r>
          </w:p>
        </w:tc>
        <w:tc>
          <w:tcPr>
            <w:tcW w:w="675" w:type="dxa"/>
            <w:vAlign w:val="center"/>
          </w:tcPr>
          <w:p>
            <w:pPr>
              <w:spacing w:line="200" w:lineRule="exact"/>
              <w:jc w:val="center"/>
              <w:rPr>
                <w:rFonts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ascii="黑体" w:eastAsia="黑体" w:cs="黑体"/>
              </w:rPr>
            </w:pPr>
            <w:r>
              <w:rPr>
                <w:rFonts w:hint="eastAsia" w:ascii="黑体" w:eastAsia="黑体" w:cs="黑体"/>
              </w:rPr>
              <w:t>责令关闭</w:t>
            </w:r>
          </w:p>
        </w:tc>
        <w:tc>
          <w:tcPr>
            <w:tcW w:w="587" w:type="dxa"/>
            <w:vAlign w:val="center"/>
          </w:tcPr>
          <w:p>
            <w:pPr>
              <w:spacing w:line="240" w:lineRule="exact"/>
              <w:jc w:val="center"/>
              <w:rPr>
                <w:rFonts w:ascii="黑体" w:eastAsia="黑体" w:cs="黑体"/>
              </w:rPr>
            </w:pPr>
            <w:r>
              <w:rPr>
                <w:rFonts w:hint="eastAsia" w:ascii="黑体" w:eastAsia="黑体" w:cs="黑体"/>
              </w:rPr>
              <w:t>限制从业</w:t>
            </w:r>
          </w:p>
        </w:tc>
        <w:tc>
          <w:tcPr>
            <w:tcW w:w="538" w:type="dxa"/>
            <w:vAlign w:val="center"/>
          </w:tcPr>
          <w:p>
            <w:pPr>
              <w:spacing w:line="240" w:lineRule="exact"/>
              <w:jc w:val="center"/>
              <w:rPr>
                <w:rFonts w:ascii="黑体" w:eastAsia="黑体" w:cs="黑体"/>
              </w:rPr>
            </w:pPr>
            <w:r>
              <w:rPr>
                <w:rFonts w:hint="eastAsia" w:ascii="黑体" w:eastAsia="黑体" w:cs="黑体"/>
              </w:rPr>
              <w:t>行政</w:t>
            </w:r>
          </w:p>
          <w:p>
            <w:pPr>
              <w:spacing w:line="240" w:lineRule="exact"/>
              <w:jc w:val="center"/>
              <w:rPr>
                <w:rFonts w:ascii="黑体" w:eastAsia="黑体" w:cs="黑体"/>
              </w:rPr>
            </w:pPr>
            <w:r>
              <w:rPr>
                <w:rFonts w:hint="eastAsia" w:ascii="黑体" w:eastAsia="黑体" w:cs="黑体"/>
              </w:rPr>
              <w:t>拘留</w:t>
            </w:r>
          </w:p>
        </w:tc>
        <w:tc>
          <w:tcPr>
            <w:tcW w:w="513" w:type="dxa"/>
            <w:vAlign w:val="center"/>
          </w:tcPr>
          <w:p>
            <w:pPr>
              <w:spacing w:line="240" w:lineRule="exact"/>
              <w:jc w:val="center"/>
              <w:rPr>
                <w:rFonts w:ascii="黑体" w:eastAsia="黑体" w:cs="黑体"/>
              </w:rPr>
            </w:pPr>
            <w:r>
              <w:rPr>
                <w:rFonts w:hint="eastAsia" w:ascii="黑体" w:eastAsia="黑体" w:cs="黑体"/>
              </w:rPr>
              <w:t>其他行政处罚</w:t>
            </w:r>
          </w:p>
        </w:tc>
        <w:tc>
          <w:tcPr>
            <w:tcW w:w="648" w:type="dxa"/>
            <w:vMerge w:val="continue"/>
            <w:vAlign w:val="center"/>
          </w:tcPr>
          <w:p>
            <w:pPr>
              <w:spacing w:line="240" w:lineRule="exact"/>
              <w:jc w:val="center"/>
              <w:rPr>
                <w:rFonts w:ascii="黑体" w:eastAsia="黑体" w:cs="黑体"/>
              </w:rPr>
            </w:pPr>
          </w:p>
        </w:tc>
        <w:tc>
          <w:tcPr>
            <w:tcW w:w="567" w:type="dxa"/>
            <w:vAlign w:val="center"/>
          </w:tcPr>
          <w:p>
            <w:pPr>
              <w:spacing w:line="240" w:lineRule="exact"/>
              <w:jc w:val="center"/>
              <w:rPr>
                <w:rFonts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rPr>
                <w:rFonts w:hint="default" w:eastAsia="宋体"/>
                <w:lang w:val="en-US" w:eastAsia="zh-CN"/>
              </w:rPr>
            </w:pPr>
            <w:r>
              <w:rPr>
                <w:rFonts w:hint="eastAsia" w:ascii="仿宋_GB2312" w:eastAsia="仿宋_GB2312" w:cs="仿宋_GB2312"/>
                <w:sz w:val="28"/>
                <w:szCs w:val="28"/>
                <w:lang w:val="en-US" w:eastAsia="zh-CN"/>
              </w:rPr>
              <w:t>肥城市文化和旅游局</w:t>
            </w:r>
          </w:p>
        </w:tc>
        <w:tc>
          <w:tcPr>
            <w:tcW w:w="724"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6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413"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412"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675"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12"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3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40"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61"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63"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8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38"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13"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48"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6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709"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709"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709"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6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r>
    </w:tbl>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年度行政处罚情况统计表</w:t>
      </w:r>
    </w:p>
    <w:p>
      <w:pPr>
        <w:spacing w:line="480" w:lineRule="exact"/>
        <w:jc w:val="center"/>
        <w:rPr>
          <w:rFonts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bl>
    <w:p>
      <w:pPr>
        <w:spacing w:line="260" w:lineRule="exact"/>
        <w:ind w:left="1050" w:hanging="1050" w:hangingChars="500"/>
        <w:jc w:val="left"/>
        <w:rPr>
          <w:rFonts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w:t>
      </w:r>
      <w:r>
        <w:rPr>
          <w:rFonts w:hint="eastAsia" w:ascii="仿宋_GB2312" w:eastAsia="仿宋_GB2312" w:cs="仿宋_GB2312"/>
          <w:lang w:val="en-US" w:eastAsia="zh-CN"/>
        </w:rPr>
        <w:t>3</w:t>
      </w:r>
      <w:r>
        <w:rPr>
          <w:rFonts w:hint="eastAsia" w:ascii="仿宋_GB2312" w:eastAsia="仿宋_GB2312" w:cs="仿宋_GB2312"/>
        </w:rPr>
        <w:t>年度1月1日至12月31日。</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ascii="仿宋_GB2312" w:eastAsia="仿宋_GB2312" w:cs="仿宋_GB231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年度行政强制情况统计表</w:t>
      </w:r>
    </w:p>
    <w:p>
      <w:pPr>
        <w:spacing w:line="480" w:lineRule="exact"/>
        <w:jc w:val="center"/>
        <w:rPr>
          <w:rFonts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rPr>
                <w:rFonts w:hint="default" w:eastAsia="宋体"/>
                <w:lang w:val="en-US" w:eastAsia="zh-CN"/>
              </w:rPr>
            </w:pPr>
            <w:r>
              <w:rPr>
                <w:rFonts w:hint="eastAsia" w:ascii="仿宋_GB2312" w:eastAsia="仿宋_GB2312" w:cs="仿宋_GB2312"/>
                <w:sz w:val="28"/>
                <w:szCs w:val="28"/>
                <w:lang w:val="en-US" w:eastAsia="zh-CN"/>
              </w:rPr>
              <w:t>肥城市文化和旅游局</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pPr>
            <w:r>
              <w:rPr>
                <w:rFonts w:hint="eastAsia"/>
                <w:lang w:val="en-US" w:eastAsia="zh-CN"/>
              </w:rPr>
              <w:t>0</w:t>
            </w:r>
          </w:p>
        </w:tc>
        <w:tc>
          <w:tcPr>
            <w:tcW w:w="770" w:type="dxa"/>
            <w:vAlign w:val="center"/>
          </w:tcPr>
          <w:p>
            <w:pPr>
              <w:spacing w:line="480" w:lineRule="exact"/>
              <w:jc w:val="center"/>
            </w:pPr>
            <w:r>
              <w:rPr>
                <w:rFonts w:hint="eastAsia"/>
                <w:lang w:val="en-US" w:eastAsia="zh-CN"/>
              </w:rPr>
              <w:t>0</w:t>
            </w:r>
          </w:p>
        </w:tc>
        <w:tc>
          <w:tcPr>
            <w:tcW w:w="771" w:type="dxa"/>
            <w:vAlign w:val="center"/>
          </w:tcPr>
          <w:p>
            <w:pPr>
              <w:spacing w:line="480" w:lineRule="exact"/>
              <w:jc w:val="center"/>
            </w:pPr>
            <w:r>
              <w:rPr>
                <w:rFonts w:hint="eastAsia"/>
                <w:lang w:val="en-US" w:eastAsia="zh-CN"/>
              </w:rPr>
              <w:t>0</w:t>
            </w:r>
          </w:p>
        </w:tc>
        <w:tc>
          <w:tcPr>
            <w:tcW w:w="771" w:type="dxa"/>
            <w:vAlign w:val="center"/>
          </w:tcPr>
          <w:p>
            <w:pPr>
              <w:spacing w:line="480" w:lineRule="exact"/>
              <w:jc w:val="cente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1" w:type="dxa"/>
            <w:vAlign w:val="center"/>
          </w:tcPr>
          <w:p>
            <w:pPr>
              <w:spacing w:line="300" w:lineRule="exact"/>
              <w:jc w:val="center"/>
              <w:rPr>
                <w:rFonts w:ascii="黑体" w:eastAsia="黑体" w:cs="黑体"/>
              </w:rPr>
            </w:pPr>
            <w:r>
              <w:rPr>
                <w:rFonts w:hint="eastAsia"/>
                <w:lang w:val="en-US" w:eastAsia="zh-CN"/>
              </w:rPr>
              <w:t>0</w:t>
            </w:r>
          </w:p>
        </w:tc>
        <w:tc>
          <w:tcPr>
            <w:tcW w:w="707" w:type="dxa"/>
            <w:vAlign w:val="center"/>
          </w:tcPr>
          <w:p>
            <w:pPr>
              <w:spacing w:line="300" w:lineRule="exact"/>
              <w:jc w:val="center"/>
              <w:rPr>
                <w:rFonts w:ascii="黑体" w:eastAsia="黑体" w:cs="黑体"/>
              </w:rPr>
            </w:pPr>
            <w:r>
              <w:rPr>
                <w:rFonts w:hint="eastAsia"/>
                <w:lang w:val="en-US" w:eastAsia="zh-CN"/>
              </w:rPr>
              <w:t>0</w:t>
            </w:r>
          </w:p>
        </w:tc>
        <w:tc>
          <w:tcPr>
            <w:tcW w:w="1451" w:type="dxa"/>
            <w:vAlign w:val="center"/>
          </w:tcPr>
          <w:p>
            <w:pPr>
              <w:spacing w:line="480" w:lineRule="exact"/>
              <w:jc w:val="center"/>
              <w:rPr>
                <w:rFonts w:ascii="黑体" w:eastAsia="黑体" w:cs="黑体"/>
                <w:sz w:val="28"/>
                <w:szCs w:val="28"/>
              </w:rPr>
            </w:pPr>
            <w:r>
              <w:rPr>
                <w:rFonts w:hint="eastAsia"/>
                <w:lang w:val="en-US" w:eastAsia="zh-CN"/>
              </w:rPr>
              <w:t>0</w:t>
            </w:r>
          </w:p>
        </w:tc>
        <w:tc>
          <w:tcPr>
            <w:tcW w:w="776" w:type="dxa"/>
            <w:vAlign w:val="center"/>
          </w:tcPr>
          <w:p>
            <w:pPr>
              <w:spacing w:line="480" w:lineRule="exact"/>
              <w:jc w:val="center"/>
              <w:rPr>
                <w:rFonts w:ascii="黑体" w:eastAsia="黑体" w:cs="黑体"/>
                <w:sz w:val="28"/>
                <w:szCs w:val="28"/>
              </w:rPr>
            </w:pPr>
            <w:r>
              <w:rPr>
                <w:rFonts w:hint="eastAsia"/>
                <w:lang w:val="en-US" w:eastAsia="zh-CN"/>
              </w:rPr>
              <w:t>0</w:t>
            </w:r>
          </w:p>
        </w:tc>
      </w:tr>
    </w:tbl>
    <w:p>
      <w:pPr>
        <w:spacing w:line="280" w:lineRule="exact"/>
        <w:ind w:left="1050" w:hanging="1050" w:hangingChars="500"/>
        <w:jc w:val="left"/>
        <w:rPr>
          <w:rFonts w:ascii="文星标宋" w:eastAsia="文星标宋" w:cs="文星标宋"/>
          <w:sz w:val="44"/>
          <w:szCs w:val="44"/>
        </w:rPr>
      </w:pPr>
      <w:r>
        <w:rPr>
          <w:rFonts w:hint="eastAsia" w:ascii="黑体" w:eastAsia="黑体" w:cs="黑体"/>
        </w:rPr>
        <w:t>填表说明：</w:t>
      </w:r>
      <w:r>
        <w:rPr>
          <w:sz w:val="18"/>
          <w:szCs w:val="18"/>
        </w:rPr>
        <w:t>1.统计范围为本年度1月1日至12月31日。</w:t>
      </w:r>
      <w:r>
        <w:rPr>
          <w:sz w:val="18"/>
          <w:szCs w:val="18"/>
        </w:rPr>
        <w:br w:type="textWrapping"/>
      </w: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年度行政征收征用情况统计表</w:t>
      </w:r>
    </w:p>
    <w:p>
      <w:pPr>
        <w:spacing w:line="480" w:lineRule="exact"/>
        <w:rPr>
          <w:rFonts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肥城市文化和旅游局</w:t>
            </w:r>
          </w:p>
        </w:tc>
        <w:tc>
          <w:tcPr>
            <w:tcW w:w="1980"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488"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3453"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602"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r>
    </w:tbl>
    <w:p>
      <w:pPr>
        <w:spacing w:line="280" w:lineRule="exact"/>
      </w:pPr>
      <w:r>
        <w:rPr>
          <w:rFonts w:hint="eastAsia" w:ascii="黑体" w:eastAsia="黑体" w:cs="黑体"/>
        </w:rPr>
        <w:t>填表说明：</w:t>
      </w:r>
      <w:r>
        <w:t>1.统计范围为本年度 1月1日至12月31日。</w:t>
      </w:r>
    </w:p>
    <w:p>
      <w:pPr>
        <w:spacing w:line="280" w:lineRule="exact"/>
        <w:ind w:left="958" w:leftChars="456"/>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jc w:val="center"/>
        <w:rPr>
          <w:rFonts w:ascii="文星标宋" w:eastAsia="文星标宋" w:cs="文星标宋"/>
          <w:sz w:val="44"/>
          <w:szCs w:val="44"/>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年度行政检查情况统计表</w:t>
      </w:r>
    </w:p>
    <w:p>
      <w:pPr>
        <w:spacing w:line="480" w:lineRule="exact"/>
        <w:rPr>
          <w:rFonts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hint="default" w:ascii="仿宋_GB2312" w:eastAsia="仿宋_GB2312" w:cs="仿宋_GB2312"/>
                <w:sz w:val="24"/>
                <w:lang w:val="en-US" w:eastAsia="zh-CN"/>
              </w:rPr>
            </w:pPr>
            <w:r>
              <w:rPr>
                <w:rFonts w:hint="eastAsia" w:ascii="仿宋_GB2312" w:eastAsia="仿宋_GB2312" w:cs="仿宋_GB2312"/>
                <w:sz w:val="28"/>
                <w:szCs w:val="28"/>
                <w:lang w:val="en-US" w:eastAsia="zh-CN"/>
              </w:rPr>
              <w:t>肥城市文化和旅游局</w:t>
            </w:r>
          </w:p>
        </w:tc>
        <w:tc>
          <w:tcPr>
            <w:tcW w:w="6379" w:type="dxa"/>
            <w:vAlign w:val="center"/>
          </w:tcPr>
          <w:p>
            <w:pPr>
              <w:spacing w:line="480" w:lineRule="exac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256</w:t>
            </w:r>
          </w:p>
        </w:tc>
      </w:tr>
    </w:tbl>
    <w:p>
      <w:pPr>
        <w:spacing w:line="480" w:lineRule="exact"/>
        <w:ind w:left="1050" w:hanging="1050" w:hangingChars="500"/>
        <w:rPr>
          <w:rFonts w:ascii="仿宋_GB2312" w:eastAsia="仿宋_GB2312" w:cs="仿宋_GB2312"/>
          <w:sz w:val="24"/>
        </w:rPr>
      </w:pPr>
      <w:r>
        <w:t>填表说明：1.统计范围为本年度 1月1日至12月31日。</w:t>
      </w:r>
      <w:r>
        <w:br w:type="textWrapping"/>
      </w:r>
      <w:r>
        <w:t>2.行政检查的次数是指检查1个检查对象，有完整、详细的检查记录，计为检查1次。无特定检查对象的巡查、巡逻，无完整、详细检查记录，检查后作出行政</w:t>
      </w:r>
      <w:bookmarkStart w:id="0" w:name="_GoBack"/>
      <w:bookmarkEnd w:id="0"/>
      <w:r>
        <w:t>处罚等其他行政执法行为的，均不计为检查次数。</w:t>
      </w: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2RjZWZlMWEzNDEzODY5NGIzNTg5OWZkMmY4MTAifQ=="/>
  </w:docVars>
  <w:rsids>
    <w:rsidRoot w:val="00B9419D"/>
    <w:rsid w:val="00032F32"/>
    <w:rsid w:val="00123C98"/>
    <w:rsid w:val="002A6F29"/>
    <w:rsid w:val="003D4824"/>
    <w:rsid w:val="00402922"/>
    <w:rsid w:val="004A5BFB"/>
    <w:rsid w:val="004C625A"/>
    <w:rsid w:val="00567E2A"/>
    <w:rsid w:val="006137DC"/>
    <w:rsid w:val="00736F2D"/>
    <w:rsid w:val="008801D3"/>
    <w:rsid w:val="00A70E9E"/>
    <w:rsid w:val="00B06498"/>
    <w:rsid w:val="00B9419D"/>
    <w:rsid w:val="00BE5659"/>
    <w:rsid w:val="00D11920"/>
    <w:rsid w:val="00D54D89"/>
    <w:rsid w:val="00E33241"/>
    <w:rsid w:val="00F3727E"/>
    <w:rsid w:val="00F85CE9"/>
    <w:rsid w:val="05D15870"/>
    <w:rsid w:val="05D709B3"/>
    <w:rsid w:val="0C840BF9"/>
    <w:rsid w:val="0CA23AC9"/>
    <w:rsid w:val="10460646"/>
    <w:rsid w:val="17B75CCB"/>
    <w:rsid w:val="1A894913"/>
    <w:rsid w:val="29BB4AE0"/>
    <w:rsid w:val="36B85B13"/>
    <w:rsid w:val="3CA52FDE"/>
    <w:rsid w:val="3D8175A7"/>
    <w:rsid w:val="400C0C7E"/>
    <w:rsid w:val="42402E61"/>
    <w:rsid w:val="46F32B98"/>
    <w:rsid w:val="49365F10"/>
    <w:rsid w:val="558275C0"/>
    <w:rsid w:val="593E3CC6"/>
    <w:rsid w:val="62FB09B2"/>
    <w:rsid w:val="7D5E1E12"/>
    <w:rsid w:val="7DF54524"/>
    <w:rsid w:val="7E5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1772</Words>
  <Characters>1827</Characters>
  <Lines>68</Lines>
  <Paragraphs>43</Paragraphs>
  <TotalTime>16</TotalTime>
  <ScaleCrop>false</ScaleCrop>
  <LinksUpToDate>false</LinksUpToDate>
  <CharactersWithSpaces>1840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zhangchen</cp:lastModifiedBy>
  <dcterms:modified xsi:type="dcterms:W3CDTF">2024-01-15T07:38:23Z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616DC665813540C0B3B7100CBD609FBB</vt:lpwstr>
  </property>
</Properties>
</file>