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rPr>
        <w:t>肥城市</w:t>
      </w:r>
      <w:r>
        <w:rPr>
          <w:rFonts w:hint="eastAsia" w:ascii="方正小标宋简体" w:eastAsia="方正小标宋简体" w:cs="文星标宋"/>
          <w:sz w:val="40"/>
          <w:szCs w:val="32"/>
          <w:u w:val="single"/>
          <w:lang w:eastAsia="zh-CN"/>
        </w:rPr>
        <w:t>人力资源和社会保障</w:t>
      </w:r>
      <w:r>
        <w:rPr>
          <w:rFonts w:ascii="方正小标宋简体" w:eastAsia="方正小标宋简体" w:cs="文星标宋"/>
          <w:sz w:val="40"/>
          <w:szCs w:val="32"/>
          <w:u w:val="single"/>
        </w:rPr>
        <w:t>局</w:t>
      </w:r>
      <w:r>
        <w:rPr>
          <w:rFonts w:hint="eastAsia" w:ascii="方正小标宋简体" w:eastAsia="方正小标宋简体" w:cs="文星标宋"/>
          <w:sz w:val="40"/>
          <w:szCs w:val="32"/>
        </w:rPr>
        <w:t>2022度行政许可情况统计表</w:t>
      </w:r>
    </w:p>
    <w:p>
      <w:pPr>
        <w:spacing w:line="480" w:lineRule="exact"/>
        <w:jc w:val="center"/>
        <w:rPr>
          <w:rFonts w:ascii="方正小标宋简体" w:eastAsia="方正小标宋简体" w:cs="文星标宋"/>
          <w:sz w:val="40"/>
          <w:szCs w:val="32"/>
        </w:rPr>
      </w:pPr>
    </w:p>
    <w:tbl>
      <w:tblPr>
        <w:tblStyle w:val="4"/>
        <w:tblW w:w="12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849" w:type="dxa"/>
            <w:vMerge w:val="restart"/>
            <w:vAlign w:val="center"/>
          </w:tcPr>
          <w:p>
            <w:pPr>
              <w:spacing w:line="480" w:lineRule="exact"/>
              <w:jc w:val="center"/>
              <w:rPr>
                <w:rFonts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rPr>
        <w:tc>
          <w:tcPr>
            <w:tcW w:w="2849" w:type="dxa"/>
            <w:vAlign w:val="center"/>
          </w:tcPr>
          <w:p>
            <w:pPr>
              <w:spacing w:line="480" w:lineRule="exact"/>
              <w:jc w:val="center"/>
              <w:rPr>
                <w:rFonts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sz w:val="20"/>
              </w:rPr>
            </w:pPr>
            <w:r>
              <w:rPr>
                <w:sz w:val="20"/>
              </w:rPr>
              <w:t>此处填报数据为：行政许可机关作出许可决定的数量</w:t>
            </w:r>
          </w:p>
        </w:tc>
        <w:tc>
          <w:tcPr>
            <w:tcW w:w="2409" w:type="dxa"/>
            <w:vAlign w:val="center"/>
          </w:tcPr>
          <w:p>
            <w:pPr>
              <w:spacing w:line="240" w:lineRule="exact"/>
              <w:jc w:val="center"/>
              <w:rPr>
                <w:sz w:val="20"/>
              </w:rPr>
            </w:pPr>
            <w:r>
              <w:t>此处填报数据为：行政许可机关作出不予许可决定的数量</w:t>
            </w:r>
          </w:p>
        </w:tc>
        <w:tc>
          <w:tcPr>
            <w:tcW w:w="3119" w:type="dxa"/>
            <w:vAlign w:val="center"/>
          </w:tcPr>
          <w:p>
            <w:pPr>
              <w:spacing w:line="240" w:lineRule="exact"/>
              <w:jc w:val="center"/>
              <w:rPr>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2" w:hRule="atLeast"/>
        </w:trPr>
        <w:tc>
          <w:tcPr>
            <w:tcW w:w="2849"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肥城市人力资源和社会保障局</w:t>
            </w:r>
          </w:p>
        </w:tc>
        <w:tc>
          <w:tcPr>
            <w:tcW w:w="2221" w:type="dxa"/>
            <w:vAlign w:val="center"/>
          </w:tcPr>
          <w:p>
            <w:pPr>
              <w:jc w:val="center"/>
            </w:pPr>
            <w:r>
              <w:rPr>
                <w:rFonts w:hint="eastAsia"/>
              </w:rPr>
              <w:t>0</w:t>
            </w:r>
          </w:p>
        </w:tc>
        <w:tc>
          <w:tcPr>
            <w:tcW w:w="2268" w:type="dxa"/>
            <w:vAlign w:val="center"/>
          </w:tcPr>
          <w:p>
            <w:pPr>
              <w:jc w:val="center"/>
            </w:pPr>
            <w:r>
              <w:rPr>
                <w:rFonts w:hint="eastAsia"/>
              </w:rPr>
              <w:t>0</w:t>
            </w:r>
          </w:p>
        </w:tc>
        <w:tc>
          <w:tcPr>
            <w:tcW w:w="2409" w:type="dxa"/>
            <w:vAlign w:val="center"/>
          </w:tcPr>
          <w:p>
            <w:pPr>
              <w:jc w:val="center"/>
            </w:pPr>
            <w:r>
              <w:rPr>
                <w:rFonts w:hint="eastAsia"/>
              </w:rPr>
              <w:t>0</w:t>
            </w:r>
          </w:p>
        </w:tc>
        <w:tc>
          <w:tcPr>
            <w:tcW w:w="3119" w:type="dxa"/>
            <w:vAlign w:val="center"/>
          </w:tcPr>
          <w:p>
            <w:pPr>
              <w:jc w:val="center"/>
            </w:pPr>
            <w:r>
              <w:rPr>
                <w:rFonts w:hint="eastAsia"/>
              </w:rPr>
              <w:t>0</w:t>
            </w:r>
          </w:p>
        </w:tc>
      </w:tr>
    </w:tbl>
    <w:p>
      <w:pPr>
        <w:spacing w:line="320" w:lineRule="exact"/>
      </w:pPr>
      <w:r>
        <w:rPr>
          <w:rFonts w:hint="eastAsia" w:ascii="黑体" w:eastAsia="黑体" w:cs="黑体"/>
        </w:rPr>
        <w:t>填表说明</w:t>
      </w:r>
      <w:r>
        <w:rPr>
          <w:rFonts w:hint="eastAsia" w:ascii="黑体" w:eastAsia="黑体" w:cs="黑体"/>
          <w:sz w:val="22"/>
          <w:szCs w:val="22"/>
        </w:rPr>
        <w:t>：</w:t>
      </w:r>
      <w:r>
        <w:t>1.统计范围为2022年度1月1日至12月31日。</w:t>
      </w:r>
    </w:p>
    <w:p>
      <w:pPr>
        <w:spacing w:line="320" w:lineRule="exact"/>
        <w:ind w:firstLine="1050" w:firstLineChars="500"/>
      </w:pPr>
      <w:r>
        <w:rPr>
          <w:rFonts w:hint="eastAsia"/>
        </w:rPr>
        <w:t>2.</w:t>
      </w:r>
      <w:r>
        <w:t xml:space="preserve"> 准予变更、延续和不予变更、延续的数量，分别计入“许可数量、不予许可数量”。</w:t>
      </w: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200" w:firstLineChars="500"/>
        <w:rPr>
          <w:rFonts w:ascii="仿宋_GB2312" w:eastAsia="仿宋_GB2312" w:cs="仿宋_GB2312"/>
          <w:sz w:val="24"/>
        </w:rPr>
      </w:pPr>
    </w:p>
    <w:tbl>
      <w:tblPr>
        <w:tblStyle w:val="4"/>
        <w:tblpPr w:leftFromText="180" w:rightFromText="180" w:vertAnchor="text" w:horzAnchor="margin" w:tblpXSpec="center"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724"/>
        <w:gridCol w:w="762"/>
        <w:gridCol w:w="413"/>
        <w:gridCol w:w="412"/>
        <w:gridCol w:w="587"/>
        <w:gridCol w:w="675"/>
        <w:gridCol w:w="538"/>
        <w:gridCol w:w="637"/>
        <w:gridCol w:w="612"/>
        <w:gridCol w:w="637"/>
        <w:gridCol w:w="640"/>
        <w:gridCol w:w="561"/>
        <w:gridCol w:w="663"/>
        <w:gridCol w:w="587"/>
        <w:gridCol w:w="538"/>
        <w:gridCol w:w="513"/>
        <w:gridCol w:w="648"/>
        <w:gridCol w:w="567"/>
        <w:gridCol w:w="709"/>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1" w:type="dxa"/>
            <w:vMerge w:val="restart"/>
            <w:vAlign w:val="center"/>
          </w:tcPr>
          <w:p>
            <w:pPr>
              <w:spacing w:line="480" w:lineRule="exact"/>
              <w:jc w:val="center"/>
            </w:pPr>
            <w:r>
              <w:rPr>
                <w:rFonts w:hint="eastAsia" w:ascii="黑体" w:eastAsia="黑体" w:cs="黑体"/>
                <w:sz w:val="28"/>
                <w:szCs w:val="28"/>
              </w:rPr>
              <w:t>单位名称</w:t>
            </w:r>
          </w:p>
        </w:tc>
        <w:tc>
          <w:tcPr>
            <w:tcW w:w="9499" w:type="dxa"/>
            <w:gridSpan w:val="16"/>
            <w:vAlign w:val="center"/>
          </w:tcPr>
          <w:p>
            <w:pPr>
              <w:spacing w:line="320" w:lineRule="exact"/>
              <w:jc w:val="center"/>
              <w:rPr>
                <w:rFonts w:ascii="黑体" w:eastAsia="黑体" w:cs="黑体"/>
                <w:sz w:val="28"/>
                <w:szCs w:val="28"/>
              </w:rPr>
            </w:pPr>
            <w:r>
              <w:rPr>
                <w:rFonts w:hint="eastAsia" w:ascii="黑体" w:eastAsia="黑体" w:cs="黑体"/>
                <w:sz w:val="28"/>
                <w:szCs w:val="28"/>
              </w:rPr>
              <w:t>行政处罚实施数量</w:t>
            </w:r>
          </w:p>
        </w:tc>
        <w:tc>
          <w:tcPr>
            <w:tcW w:w="648" w:type="dxa"/>
            <w:vMerge w:val="restart"/>
            <w:vAlign w:val="center"/>
          </w:tcPr>
          <w:p>
            <w:pPr>
              <w:spacing w:line="240" w:lineRule="exact"/>
              <w:jc w:val="center"/>
              <w:rPr>
                <w:rFonts w:ascii="黑体" w:eastAsia="黑体" w:cs="黑体"/>
              </w:rPr>
            </w:pPr>
            <w:r>
              <w:rPr>
                <w:rFonts w:hint="eastAsia" w:ascii="黑体" w:eastAsia="黑体" w:cs="黑体"/>
              </w:rPr>
              <w:t>罚没金额</w:t>
            </w:r>
          </w:p>
          <w:p>
            <w:pPr>
              <w:spacing w:line="240" w:lineRule="exact"/>
              <w:jc w:val="center"/>
              <w:rPr>
                <w:rFonts w:ascii="黑体" w:eastAsia="黑体" w:cs="黑体"/>
              </w:rPr>
            </w:pPr>
            <w:r>
              <w:rPr>
                <w:rFonts w:hint="eastAsia" w:ascii="黑体" w:eastAsia="黑体" w:cs="黑体"/>
              </w:rPr>
              <w:t>（万元）</w:t>
            </w:r>
          </w:p>
        </w:tc>
        <w:tc>
          <w:tcPr>
            <w:tcW w:w="2694" w:type="dxa"/>
            <w:gridSpan w:val="4"/>
            <w:vAlign w:val="center"/>
          </w:tcPr>
          <w:p>
            <w:pPr>
              <w:spacing w:line="320" w:lineRule="exact"/>
              <w:jc w:val="center"/>
              <w:rPr>
                <w:rFonts w:ascii="黑体" w:eastAsia="黑体" w:cs="黑体"/>
                <w:sz w:val="24"/>
              </w:rPr>
            </w:pPr>
            <w:r>
              <w:rPr>
                <w:rFonts w:hint="eastAsia" w:ascii="黑体" w:eastAsia="黑体" w:cs="黑体"/>
                <w:sz w:val="24"/>
              </w:rPr>
              <w:t>被行政复议应诉数量</w:t>
            </w:r>
          </w:p>
        </w:tc>
        <w:tc>
          <w:tcPr>
            <w:tcW w:w="567" w:type="dxa"/>
            <w:vMerge w:val="restart"/>
            <w:vAlign w:val="center"/>
          </w:tcPr>
          <w:p>
            <w:pPr>
              <w:spacing w:line="320" w:lineRule="exact"/>
              <w:jc w:val="center"/>
              <w:rPr>
                <w:rFonts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01" w:type="dxa"/>
            <w:vMerge w:val="continue"/>
          </w:tcPr>
          <w:p/>
        </w:tc>
        <w:tc>
          <w:tcPr>
            <w:tcW w:w="724" w:type="dxa"/>
            <w:vAlign w:val="center"/>
          </w:tcPr>
          <w:p>
            <w:pPr>
              <w:spacing w:line="240" w:lineRule="exact"/>
              <w:jc w:val="center"/>
              <w:rPr>
                <w:rFonts w:ascii="黑体" w:eastAsia="黑体" w:cs="黑体"/>
              </w:rPr>
            </w:pPr>
            <w:r>
              <w:rPr>
                <w:rFonts w:hint="eastAsia" w:ascii="黑体" w:eastAsia="黑体" w:cs="黑体"/>
              </w:rPr>
              <w:t>立案数量</w:t>
            </w:r>
          </w:p>
        </w:tc>
        <w:tc>
          <w:tcPr>
            <w:tcW w:w="762" w:type="dxa"/>
            <w:vAlign w:val="center"/>
          </w:tcPr>
          <w:p>
            <w:pPr>
              <w:spacing w:line="240" w:lineRule="exact"/>
              <w:jc w:val="center"/>
              <w:rPr>
                <w:rFonts w:ascii="黑体" w:eastAsia="黑体" w:cs="黑体"/>
              </w:rPr>
            </w:pPr>
            <w:r>
              <w:rPr>
                <w:rFonts w:hint="eastAsia" w:ascii="黑体" w:eastAsia="黑体" w:cs="黑体"/>
              </w:rPr>
              <w:t>结案数量</w:t>
            </w:r>
          </w:p>
        </w:tc>
        <w:tc>
          <w:tcPr>
            <w:tcW w:w="413" w:type="dxa"/>
            <w:vAlign w:val="center"/>
          </w:tcPr>
          <w:p>
            <w:pPr>
              <w:spacing w:line="240" w:lineRule="exact"/>
              <w:jc w:val="center"/>
              <w:rPr>
                <w:rFonts w:ascii="黑体" w:eastAsia="黑体" w:cs="黑体"/>
              </w:rPr>
            </w:pPr>
            <w:r>
              <w:rPr>
                <w:rFonts w:hint="eastAsia" w:ascii="黑体" w:eastAsia="黑体" w:cs="黑体"/>
              </w:rPr>
              <w:t>警告</w:t>
            </w:r>
          </w:p>
        </w:tc>
        <w:tc>
          <w:tcPr>
            <w:tcW w:w="412" w:type="dxa"/>
            <w:vAlign w:val="center"/>
          </w:tcPr>
          <w:p>
            <w:pPr>
              <w:spacing w:line="240" w:lineRule="exact"/>
              <w:jc w:val="center"/>
              <w:rPr>
                <w:rFonts w:ascii="黑体" w:eastAsia="黑体" w:cs="黑体"/>
              </w:rPr>
            </w:pPr>
            <w:r>
              <w:rPr>
                <w:rFonts w:hint="eastAsia" w:ascii="黑体" w:eastAsia="黑体" w:cs="黑体"/>
              </w:rPr>
              <w:t>通报批评</w:t>
            </w:r>
          </w:p>
        </w:tc>
        <w:tc>
          <w:tcPr>
            <w:tcW w:w="587" w:type="dxa"/>
            <w:vAlign w:val="center"/>
          </w:tcPr>
          <w:p>
            <w:pPr>
              <w:spacing w:line="240" w:lineRule="exact"/>
              <w:jc w:val="center"/>
              <w:rPr>
                <w:rFonts w:ascii="黑体" w:eastAsia="黑体" w:cs="黑体"/>
              </w:rPr>
            </w:pPr>
            <w:r>
              <w:rPr>
                <w:rFonts w:hint="eastAsia" w:ascii="黑体" w:eastAsia="黑体" w:cs="黑体"/>
              </w:rPr>
              <w:t>罚款</w:t>
            </w:r>
          </w:p>
        </w:tc>
        <w:tc>
          <w:tcPr>
            <w:tcW w:w="675" w:type="dxa"/>
            <w:vAlign w:val="center"/>
          </w:tcPr>
          <w:p>
            <w:pPr>
              <w:spacing w:line="200" w:lineRule="exact"/>
              <w:jc w:val="center"/>
              <w:rPr>
                <w:rFonts w:ascii="黑体" w:eastAsia="黑体" w:cs="黑体"/>
              </w:rPr>
            </w:pPr>
            <w:r>
              <w:rPr>
                <w:rFonts w:hint="eastAsia" w:ascii="黑体" w:eastAsia="黑体" w:cs="黑体"/>
                <w:spacing w:val="-11"/>
              </w:rPr>
              <w:t>没收 违法所得</w:t>
            </w:r>
          </w:p>
        </w:tc>
        <w:tc>
          <w:tcPr>
            <w:tcW w:w="538" w:type="dxa"/>
            <w:vAlign w:val="center"/>
          </w:tcPr>
          <w:p>
            <w:pPr>
              <w:spacing w:line="200" w:lineRule="exact"/>
              <w:jc w:val="center"/>
              <w:rPr>
                <w:rFonts w:ascii="黑体" w:eastAsia="黑体" w:cs="黑体"/>
                <w:spacing w:val="-11"/>
              </w:rPr>
            </w:pPr>
            <w:r>
              <w:rPr>
                <w:rFonts w:hint="eastAsia" w:ascii="黑体" w:eastAsia="黑体" w:cs="黑体"/>
                <w:spacing w:val="-11"/>
              </w:rPr>
              <w:t>没收非法财物</w:t>
            </w:r>
          </w:p>
        </w:tc>
        <w:tc>
          <w:tcPr>
            <w:tcW w:w="637" w:type="dxa"/>
            <w:vAlign w:val="center"/>
          </w:tcPr>
          <w:p>
            <w:pPr>
              <w:spacing w:line="240" w:lineRule="exact"/>
              <w:jc w:val="center"/>
              <w:rPr>
                <w:rFonts w:ascii="黑体" w:eastAsia="黑体" w:cs="黑体"/>
              </w:rPr>
            </w:pPr>
            <w:r>
              <w:rPr>
                <w:rFonts w:hint="eastAsia" w:ascii="黑体" w:eastAsia="黑体" w:cs="黑体"/>
              </w:rPr>
              <w:t>暂扣许可证件</w:t>
            </w:r>
          </w:p>
        </w:tc>
        <w:tc>
          <w:tcPr>
            <w:tcW w:w="612" w:type="dxa"/>
            <w:vAlign w:val="center"/>
          </w:tcPr>
          <w:p>
            <w:pPr>
              <w:spacing w:line="240" w:lineRule="exact"/>
              <w:jc w:val="center"/>
              <w:rPr>
                <w:rFonts w:ascii="黑体" w:eastAsia="黑体" w:cs="黑体"/>
              </w:rPr>
            </w:pPr>
            <w:r>
              <w:rPr>
                <w:rFonts w:hint="eastAsia" w:ascii="黑体" w:eastAsia="黑体" w:cs="黑体"/>
              </w:rPr>
              <w:t>降低资质等级</w:t>
            </w:r>
          </w:p>
        </w:tc>
        <w:tc>
          <w:tcPr>
            <w:tcW w:w="637" w:type="dxa"/>
            <w:vAlign w:val="center"/>
          </w:tcPr>
          <w:p>
            <w:pPr>
              <w:spacing w:line="240" w:lineRule="exact"/>
              <w:jc w:val="center"/>
              <w:rPr>
                <w:rFonts w:ascii="黑体" w:eastAsia="黑体" w:cs="黑体"/>
              </w:rPr>
            </w:pPr>
            <w:r>
              <w:rPr>
                <w:rFonts w:hint="eastAsia" w:ascii="黑体" w:eastAsia="黑体" w:cs="黑体"/>
              </w:rPr>
              <w:t>吊销许可证件</w:t>
            </w:r>
          </w:p>
        </w:tc>
        <w:tc>
          <w:tcPr>
            <w:tcW w:w="640" w:type="dxa"/>
            <w:vAlign w:val="center"/>
          </w:tcPr>
          <w:p>
            <w:pPr>
              <w:spacing w:line="240" w:lineRule="exact"/>
              <w:jc w:val="center"/>
              <w:rPr>
                <w:rFonts w:ascii="黑体" w:eastAsia="黑体" w:cs="黑体"/>
              </w:rPr>
            </w:pPr>
            <w:r>
              <w:rPr>
                <w:rFonts w:hint="eastAsia" w:ascii="黑体" w:eastAsia="黑体" w:cs="黑体"/>
              </w:rPr>
              <w:t>限制开展生产经营活动</w:t>
            </w:r>
          </w:p>
        </w:tc>
        <w:tc>
          <w:tcPr>
            <w:tcW w:w="561" w:type="dxa"/>
            <w:vAlign w:val="center"/>
          </w:tcPr>
          <w:p>
            <w:pPr>
              <w:spacing w:line="240" w:lineRule="exact"/>
              <w:jc w:val="center"/>
              <w:rPr>
                <w:rFonts w:ascii="黑体" w:eastAsia="黑体" w:cs="黑体"/>
              </w:rPr>
            </w:pPr>
            <w:r>
              <w:rPr>
                <w:rFonts w:hint="eastAsia" w:ascii="黑体" w:eastAsia="黑体" w:cs="黑体"/>
              </w:rPr>
              <w:t>责令停产停业</w:t>
            </w:r>
          </w:p>
        </w:tc>
        <w:tc>
          <w:tcPr>
            <w:tcW w:w="663" w:type="dxa"/>
            <w:vAlign w:val="center"/>
          </w:tcPr>
          <w:p>
            <w:pPr>
              <w:spacing w:line="240" w:lineRule="exact"/>
              <w:jc w:val="center"/>
              <w:rPr>
                <w:rFonts w:ascii="黑体" w:eastAsia="黑体" w:cs="黑体"/>
              </w:rPr>
            </w:pPr>
            <w:r>
              <w:rPr>
                <w:rFonts w:hint="eastAsia" w:ascii="黑体" w:eastAsia="黑体" w:cs="黑体"/>
              </w:rPr>
              <w:t>责令关闭</w:t>
            </w:r>
          </w:p>
        </w:tc>
        <w:tc>
          <w:tcPr>
            <w:tcW w:w="587" w:type="dxa"/>
            <w:vAlign w:val="center"/>
          </w:tcPr>
          <w:p>
            <w:pPr>
              <w:spacing w:line="240" w:lineRule="exact"/>
              <w:jc w:val="center"/>
              <w:rPr>
                <w:rFonts w:ascii="黑体" w:eastAsia="黑体" w:cs="黑体"/>
              </w:rPr>
            </w:pPr>
            <w:r>
              <w:rPr>
                <w:rFonts w:hint="eastAsia" w:ascii="黑体" w:eastAsia="黑体" w:cs="黑体"/>
              </w:rPr>
              <w:t>限制从业</w:t>
            </w:r>
          </w:p>
        </w:tc>
        <w:tc>
          <w:tcPr>
            <w:tcW w:w="538" w:type="dxa"/>
            <w:vAlign w:val="center"/>
          </w:tcPr>
          <w:p>
            <w:pPr>
              <w:spacing w:line="240" w:lineRule="exact"/>
              <w:jc w:val="center"/>
              <w:rPr>
                <w:rFonts w:ascii="黑体" w:eastAsia="黑体" w:cs="黑体"/>
              </w:rPr>
            </w:pPr>
            <w:r>
              <w:rPr>
                <w:rFonts w:hint="eastAsia" w:ascii="黑体" w:eastAsia="黑体" w:cs="黑体"/>
              </w:rPr>
              <w:t>行政</w:t>
            </w:r>
          </w:p>
          <w:p>
            <w:pPr>
              <w:spacing w:line="240" w:lineRule="exact"/>
              <w:jc w:val="center"/>
              <w:rPr>
                <w:rFonts w:ascii="黑体" w:eastAsia="黑体" w:cs="黑体"/>
              </w:rPr>
            </w:pPr>
            <w:r>
              <w:rPr>
                <w:rFonts w:hint="eastAsia" w:ascii="黑体" w:eastAsia="黑体" w:cs="黑体"/>
              </w:rPr>
              <w:t>拘留</w:t>
            </w:r>
          </w:p>
        </w:tc>
        <w:tc>
          <w:tcPr>
            <w:tcW w:w="513" w:type="dxa"/>
            <w:vAlign w:val="center"/>
          </w:tcPr>
          <w:p>
            <w:pPr>
              <w:spacing w:line="240" w:lineRule="exact"/>
              <w:jc w:val="center"/>
              <w:rPr>
                <w:rFonts w:ascii="黑体" w:eastAsia="黑体" w:cs="黑体"/>
              </w:rPr>
            </w:pPr>
            <w:r>
              <w:rPr>
                <w:rFonts w:hint="eastAsia" w:ascii="黑体" w:eastAsia="黑体" w:cs="黑体"/>
              </w:rPr>
              <w:t>其他行政处罚</w:t>
            </w:r>
          </w:p>
        </w:tc>
        <w:tc>
          <w:tcPr>
            <w:tcW w:w="648" w:type="dxa"/>
            <w:vMerge w:val="continue"/>
            <w:vAlign w:val="center"/>
          </w:tcPr>
          <w:p>
            <w:pPr>
              <w:spacing w:line="240" w:lineRule="exact"/>
              <w:jc w:val="center"/>
              <w:rPr>
                <w:rFonts w:ascii="黑体" w:eastAsia="黑体" w:cs="黑体"/>
              </w:rPr>
            </w:pPr>
          </w:p>
        </w:tc>
        <w:tc>
          <w:tcPr>
            <w:tcW w:w="567" w:type="dxa"/>
            <w:vAlign w:val="center"/>
          </w:tcPr>
          <w:p>
            <w:pPr>
              <w:spacing w:line="240" w:lineRule="exact"/>
              <w:jc w:val="center"/>
              <w:rPr>
                <w:rFonts w:ascii="黑体" w:eastAsia="黑体" w:cs="黑体"/>
              </w:rPr>
            </w:pPr>
            <w:r>
              <w:rPr>
                <w:rFonts w:hint="eastAsia" w:ascii="黑体" w:eastAsia="黑体" w:cs="黑体"/>
              </w:rPr>
              <w:t>被行政复议数量</w:t>
            </w:r>
          </w:p>
        </w:tc>
        <w:tc>
          <w:tcPr>
            <w:tcW w:w="709" w:type="dxa"/>
            <w:vAlign w:val="center"/>
          </w:tcPr>
          <w:p>
            <w:pPr>
              <w:spacing w:line="240" w:lineRule="exact"/>
              <w:jc w:val="center"/>
              <w:rPr>
                <w:rFonts w:ascii="黑体" w:eastAsia="黑体" w:cs="黑体"/>
              </w:rPr>
            </w:pPr>
            <w:r>
              <w:rPr>
                <w:rFonts w:hint="eastAsia" w:ascii="黑体" w:eastAsia="黑体" w:cs="黑体"/>
              </w:rPr>
              <w:t>被行政复议纠错数量</w:t>
            </w:r>
          </w:p>
        </w:tc>
        <w:tc>
          <w:tcPr>
            <w:tcW w:w="709" w:type="dxa"/>
            <w:vAlign w:val="center"/>
          </w:tcPr>
          <w:p>
            <w:pPr>
              <w:spacing w:line="240" w:lineRule="exact"/>
              <w:jc w:val="center"/>
              <w:rPr>
                <w:rFonts w:ascii="黑体" w:eastAsia="黑体" w:cs="黑体"/>
              </w:rPr>
            </w:pPr>
            <w:r>
              <w:rPr>
                <w:rFonts w:hint="eastAsia" w:ascii="黑体" w:eastAsia="黑体" w:cs="黑体"/>
              </w:rPr>
              <w:t>被行政诉讼数量</w:t>
            </w:r>
          </w:p>
        </w:tc>
        <w:tc>
          <w:tcPr>
            <w:tcW w:w="709" w:type="dxa"/>
            <w:vAlign w:val="center"/>
          </w:tcPr>
          <w:p>
            <w:pPr>
              <w:spacing w:line="240" w:lineRule="exact"/>
              <w:jc w:val="center"/>
              <w:rPr>
                <w:rFonts w:ascii="黑体" w:eastAsia="黑体" w:cs="黑体"/>
              </w:rPr>
            </w:pPr>
            <w:r>
              <w:rPr>
                <w:rFonts w:hint="eastAsia" w:ascii="黑体" w:eastAsia="黑体" w:cs="黑体"/>
              </w:rPr>
              <w:t>行政诉讼败诉数量</w:t>
            </w:r>
          </w:p>
        </w:tc>
        <w:tc>
          <w:tcPr>
            <w:tcW w:w="56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01" w:type="dxa"/>
            <w:vAlign w:val="center"/>
          </w:tcPr>
          <w:p>
            <w:pPr>
              <w:spacing w:line="320" w:lineRule="exact"/>
              <w:jc w:val="center"/>
              <w:rPr>
                <w:rFonts w:hint="eastAsia"/>
              </w:rPr>
            </w:pPr>
            <w:r>
              <w:rPr>
                <w:rFonts w:hint="eastAsia" w:ascii="仿宋_GB2312" w:eastAsia="仿宋_GB2312" w:cs="仿宋_GB2312"/>
                <w:sz w:val="28"/>
                <w:szCs w:val="28"/>
              </w:rPr>
              <w:t>肥城市人力资源和社会保障局</w:t>
            </w:r>
          </w:p>
        </w:tc>
        <w:tc>
          <w:tcPr>
            <w:tcW w:w="724"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762"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413"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412"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587"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675"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538"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637"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612"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637"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640"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561"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663"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587"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538"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513"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648"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567"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709"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709"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709"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567"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r>
    </w:tbl>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rPr>
        <w:t>肥城市</w:t>
      </w:r>
      <w:r>
        <w:rPr>
          <w:rFonts w:hint="eastAsia" w:ascii="方正小标宋简体" w:eastAsia="方正小标宋简体" w:cs="文星标宋"/>
          <w:sz w:val="40"/>
          <w:szCs w:val="32"/>
          <w:u w:val="single"/>
          <w:lang w:eastAsia="zh-CN"/>
        </w:rPr>
        <w:t>人力资源和社会保障</w:t>
      </w:r>
      <w:r>
        <w:rPr>
          <w:rFonts w:ascii="方正小标宋简体" w:eastAsia="方正小标宋简体" w:cs="文星标宋"/>
          <w:sz w:val="40"/>
          <w:szCs w:val="32"/>
          <w:u w:val="single"/>
        </w:rPr>
        <w:t>局</w:t>
      </w:r>
      <w:r>
        <w:rPr>
          <w:rFonts w:hint="eastAsia" w:ascii="方正小标宋简体" w:eastAsia="方正小标宋简体" w:cs="文星标宋"/>
          <w:sz w:val="40"/>
          <w:szCs w:val="32"/>
        </w:rPr>
        <w:t>2022年度行政处罚情况统计表</w:t>
      </w:r>
    </w:p>
    <w:p>
      <w:pPr>
        <w:spacing w:line="480" w:lineRule="exact"/>
        <w:jc w:val="center"/>
        <w:rPr>
          <w:rFonts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bl>
    <w:p>
      <w:pPr>
        <w:spacing w:line="260" w:lineRule="exact"/>
        <w:ind w:left="1050" w:hanging="1050" w:hangingChars="500"/>
        <w:jc w:val="left"/>
        <w:rPr>
          <w:rFonts w:ascii="仿宋_GB2312" w:eastAsia="仿宋_GB2312" w:cs="仿宋_GB2312"/>
        </w:rPr>
      </w:pPr>
      <w:r>
        <w:rPr>
          <w:rFonts w:hint="eastAsia" w:ascii="黑体" w:eastAsia="黑体" w:cs="黑体"/>
        </w:rPr>
        <w:t>填表说明：</w:t>
      </w:r>
      <w:r>
        <w:rPr>
          <w:rFonts w:hint="eastAsia" w:ascii="仿宋_GB2312" w:eastAsia="仿宋_GB2312" w:cs="仿宋_GB2312"/>
        </w:rPr>
        <w:t>1.统计范围为2022年度1月1日至12月31日。</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ascii="仿宋_GB2312" w:eastAsia="仿宋_GB2312" w:cs="仿宋_GB231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rPr>
        <w:t>肥城市</w:t>
      </w:r>
      <w:r>
        <w:rPr>
          <w:rFonts w:hint="eastAsia" w:ascii="方正小标宋简体" w:eastAsia="方正小标宋简体" w:cs="文星标宋"/>
          <w:sz w:val="40"/>
          <w:szCs w:val="32"/>
          <w:u w:val="single"/>
          <w:lang w:eastAsia="zh-CN"/>
        </w:rPr>
        <w:t>人力资源和社会保障</w:t>
      </w:r>
      <w:r>
        <w:rPr>
          <w:rFonts w:ascii="方正小标宋简体" w:eastAsia="方正小标宋简体" w:cs="文星标宋"/>
          <w:sz w:val="40"/>
          <w:szCs w:val="32"/>
          <w:u w:val="single"/>
        </w:rPr>
        <w:t>局</w:t>
      </w:r>
      <w:r>
        <w:rPr>
          <w:rFonts w:hint="eastAsia" w:ascii="方正小标宋简体" w:eastAsia="方正小标宋简体" w:cs="文星标宋"/>
          <w:sz w:val="40"/>
          <w:szCs w:val="32"/>
        </w:rPr>
        <w:t>2022年度行政强制情况统计表</w:t>
      </w:r>
    </w:p>
    <w:p>
      <w:pPr>
        <w:spacing w:line="480" w:lineRule="exact"/>
        <w:jc w:val="center"/>
        <w:rPr>
          <w:rFonts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81" w:type="dxa"/>
            <w:vAlign w:val="center"/>
          </w:tcPr>
          <w:p>
            <w:pPr>
              <w:spacing w:line="320" w:lineRule="exact"/>
              <w:jc w:val="center"/>
              <w:rPr>
                <w:rFonts w:hint="eastAsia"/>
              </w:rPr>
            </w:pPr>
            <w:r>
              <w:rPr>
                <w:rFonts w:hint="eastAsia" w:ascii="仿宋_GB2312" w:eastAsia="仿宋_GB2312" w:cs="仿宋_GB2312"/>
                <w:sz w:val="28"/>
                <w:szCs w:val="28"/>
              </w:rPr>
              <w:t>肥城市人力资源和社会保障局</w:t>
            </w:r>
          </w:p>
        </w:tc>
        <w:tc>
          <w:tcPr>
            <w:tcW w:w="771" w:type="dxa"/>
            <w:vAlign w:val="center"/>
          </w:tcPr>
          <w:p>
            <w:pPr>
              <w:spacing w:line="480" w:lineRule="exact"/>
              <w:jc w:val="center"/>
            </w:pPr>
            <w:r>
              <w:rPr>
                <w:rFonts w:hint="eastAsia"/>
              </w:rPr>
              <w:t>0</w:t>
            </w:r>
          </w:p>
        </w:tc>
        <w:tc>
          <w:tcPr>
            <w:tcW w:w="771" w:type="dxa"/>
            <w:vAlign w:val="center"/>
          </w:tcPr>
          <w:p>
            <w:pPr>
              <w:spacing w:line="480" w:lineRule="exact"/>
              <w:jc w:val="center"/>
            </w:pPr>
            <w:r>
              <w:rPr>
                <w:rFonts w:hint="eastAsia"/>
              </w:rPr>
              <w:t>0</w:t>
            </w:r>
          </w:p>
        </w:tc>
        <w:tc>
          <w:tcPr>
            <w:tcW w:w="770" w:type="dxa"/>
            <w:vAlign w:val="center"/>
          </w:tcPr>
          <w:p>
            <w:pPr>
              <w:spacing w:line="480" w:lineRule="exact"/>
              <w:jc w:val="center"/>
            </w:pPr>
            <w:r>
              <w:rPr>
                <w:rFonts w:hint="eastAsia"/>
              </w:rPr>
              <w:t>0</w:t>
            </w:r>
          </w:p>
        </w:tc>
        <w:tc>
          <w:tcPr>
            <w:tcW w:w="771" w:type="dxa"/>
            <w:vAlign w:val="center"/>
          </w:tcPr>
          <w:p>
            <w:pPr>
              <w:spacing w:line="480" w:lineRule="exact"/>
              <w:jc w:val="center"/>
            </w:pPr>
            <w:r>
              <w:rPr>
                <w:rFonts w:hint="eastAsia"/>
              </w:rPr>
              <w:t>0</w:t>
            </w:r>
          </w:p>
        </w:tc>
        <w:tc>
          <w:tcPr>
            <w:tcW w:w="771" w:type="dxa"/>
            <w:vAlign w:val="center"/>
          </w:tcPr>
          <w:p>
            <w:pPr>
              <w:spacing w:line="480" w:lineRule="exact"/>
              <w:jc w:val="center"/>
            </w:pPr>
            <w:r>
              <w:rPr>
                <w:rFonts w:hint="eastAsia"/>
              </w:rPr>
              <w:t>0</w:t>
            </w:r>
          </w:p>
        </w:tc>
        <w:tc>
          <w:tcPr>
            <w:tcW w:w="802" w:type="dxa"/>
            <w:vAlign w:val="center"/>
          </w:tcPr>
          <w:p>
            <w:pPr>
              <w:spacing w:line="300" w:lineRule="exact"/>
              <w:jc w:val="center"/>
              <w:rPr>
                <w:rFonts w:ascii="黑体" w:eastAsia="黑体" w:cs="黑体"/>
              </w:rPr>
            </w:pPr>
            <w:r>
              <w:rPr>
                <w:rFonts w:hint="eastAsia" w:ascii="黑体" w:eastAsia="黑体" w:cs="黑体"/>
              </w:rPr>
              <w:t>0</w:t>
            </w:r>
          </w:p>
        </w:tc>
        <w:tc>
          <w:tcPr>
            <w:tcW w:w="802" w:type="dxa"/>
            <w:vAlign w:val="center"/>
          </w:tcPr>
          <w:p>
            <w:pPr>
              <w:spacing w:line="300" w:lineRule="exact"/>
              <w:jc w:val="center"/>
              <w:rPr>
                <w:rFonts w:ascii="黑体" w:eastAsia="黑体" w:cs="黑体"/>
              </w:rPr>
            </w:pPr>
            <w:r>
              <w:rPr>
                <w:rFonts w:hint="eastAsia" w:ascii="黑体" w:eastAsia="黑体" w:cs="黑体"/>
              </w:rPr>
              <w:t>0</w:t>
            </w:r>
          </w:p>
        </w:tc>
        <w:tc>
          <w:tcPr>
            <w:tcW w:w="802" w:type="dxa"/>
            <w:vAlign w:val="center"/>
          </w:tcPr>
          <w:p>
            <w:pPr>
              <w:spacing w:line="300" w:lineRule="exact"/>
              <w:jc w:val="center"/>
              <w:rPr>
                <w:rFonts w:ascii="黑体" w:eastAsia="黑体" w:cs="黑体"/>
              </w:rPr>
            </w:pPr>
            <w:r>
              <w:rPr>
                <w:rFonts w:hint="eastAsia" w:ascii="黑体" w:eastAsia="黑体" w:cs="黑体"/>
              </w:rPr>
              <w:t>0</w:t>
            </w:r>
          </w:p>
        </w:tc>
        <w:tc>
          <w:tcPr>
            <w:tcW w:w="802" w:type="dxa"/>
            <w:vAlign w:val="center"/>
          </w:tcPr>
          <w:p>
            <w:pPr>
              <w:spacing w:line="300" w:lineRule="exact"/>
              <w:jc w:val="center"/>
              <w:rPr>
                <w:rFonts w:ascii="黑体" w:eastAsia="黑体" w:cs="黑体"/>
              </w:rPr>
            </w:pPr>
            <w:r>
              <w:rPr>
                <w:rFonts w:hint="eastAsia" w:ascii="黑体" w:eastAsia="黑体" w:cs="黑体"/>
              </w:rPr>
              <w:t>0</w:t>
            </w:r>
          </w:p>
        </w:tc>
        <w:tc>
          <w:tcPr>
            <w:tcW w:w="802" w:type="dxa"/>
            <w:vAlign w:val="center"/>
          </w:tcPr>
          <w:p>
            <w:pPr>
              <w:spacing w:line="300" w:lineRule="exact"/>
              <w:jc w:val="center"/>
              <w:rPr>
                <w:rFonts w:ascii="黑体" w:eastAsia="黑体" w:cs="黑体"/>
              </w:rPr>
            </w:pPr>
            <w:r>
              <w:rPr>
                <w:rFonts w:hint="eastAsia" w:ascii="黑体" w:eastAsia="黑体" w:cs="黑体"/>
              </w:rPr>
              <w:t>0</w:t>
            </w:r>
          </w:p>
        </w:tc>
        <w:tc>
          <w:tcPr>
            <w:tcW w:w="801" w:type="dxa"/>
            <w:vAlign w:val="center"/>
          </w:tcPr>
          <w:p>
            <w:pPr>
              <w:spacing w:line="300" w:lineRule="exact"/>
              <w:jc w:val="center"/>
              <w:rPr>
                <w:rFonts w:ascii="黑体" w:eastAsia="黑体" w:cs="黑体"/>
              </w:rPr>
            </w:pPr>
            <w:r>
              <w:rPr>
                <w:rFonts w:hint="eastAsia" w:ascii="黑体" w:eastAsia="黑体" w:cs="黑体"/>
              </w:rPr>
              <w:t>0</w:t>
            </w:r>
          </w:p>
        </w:tc>
        <w:tc>
          <w:tcPr>
            <w:tcW w:w="707" w:type="dxa"/>
            <w:vAlign w:val="center"/>
          </w:tcPr>
          <w:p>
            <w:pPr>
              <w:spacing w:line="300" w:lineRule="exact"/>
              <w:jc w:val="center"/>
              <w:rPr>
                <w:rFonts w:ascii="黑体" w:eastAsia="黑体" w:cs="黑体"/>
              </w:rPr>
            </w:pPr>
            <w:r>
              <w:rPr>
                <w:rFonts w:hint="eastAsia" w:ascii="黑体" w:eastAsia="黑体" w:cs="黑体"/>
              </w:rPr>
              <w:t>0</w:t>
            </w:r>
          </w:p>
        </w:tc>
        <w:tc>
          <w:tcPr>
            <w:tcW w:w="1451" w:type="dxa"/>
            <w:vAlign w:val="center"/>
          </w:tcPr>
          <w:p>
            <w:pPr>
              <w:spacing w:line="480" w:lineRule="exact"/>
              <w:jc w:val="center"/>
              <w:rPr>
                <w:rFonts w:ascii="黑体" w:eastAsia="黑体" w:cs="黑体"/>
              </w:rPr>
            </w:pPr>
            <w:r>
              <w:rPr>
                <w:rFonts w:hint="eastAsia" w:ascii="黑体" w:eastAsia="黑体" w:cs="黑体"/>
              </w:rPr>
              <w:t>0</w:t>
            </w:r>
          </w:p>
        </w:tc>
        <w:tc>
          <w:tcPr>
            <w:tcW w:w="776" w:type="dxa"/>
            <w:vAlign w:val="center"/>
          </w:tcPr>
          <w:p>
            <w:pPr>
              <w:spacing w:line="480" w:lineRule="exact"/>
              <w:jc w:val="center"/>
              <w:rPr>
                <w:rFonts w:ascii="黑体" w:eastAsia="黑体" w:cs="黑体"/>
              </w:rPr>
            </w:pPr>
            <w:r>
              <w:rPr>
                <w:rFonts w:hint="eastAsia" w:ascii="黑体" w:eastAsia="黑体" w:cs="黑体"/>
              </w:rPr>
              <w:t>0</w:t>
            </w:r>
          </w:p>
        </w:tc>
      </w:tr>
    </w:tbl>
    <w:p>
      <w:pPr>
        <w:spacing w:line="280" w:lineRule="exact"/>
        <w:ind w:left="1050" w:hanging="1050" w:hangingChars="500"/>
        <w:jc w:val="left"/>
        <w:rPr>
          <w:rFonts w:ascii="文星标宋" w:eastAsia="文星标宋" w:cs="文星标宋"/>
          <w:sz w:val="44"/>
          <w:szCs w:val="44"/>
        </w:rPr>
      </w:pPr>
      <w:r>
        <w:rPr>
          <w:rFonts w:hint="eastAsia" w:ascii="黑体" w:eastAsia="黑体" w:cs="黑体"/>
        </w:rPr>
        <w:t>填表说明：</w:t>
      </w:r>
      <w:r>
        <w:rPr>
          <w:sz w:val="18"/>
          <w:szCs w:val="18"/>
        </w:rPr>
        <w:t>1.统计范围为本年度1月1日至12月31日。</w:t>
      </w:r>
      <w:r>
        <w:rPr>
          <w:sz w:val="18"/>
          <w:szCs w:val="18"/>
        </w:rPr>
        <w:br w:type="textWrapping"/>
      </w:r>
      <w:r>
        <w:rPr>
          <w:sz w:val="18"/>
          <w:szCs w:val="18"/>
        </w:rPr>
        <w:t>2.行政强制措施实施数量是指作出“查封场所、设施或者财物、扣押财物、冻结存款、汇款或者其他行政强制措施”决定的数量。</w:t>
      </w:r>
      <w:r>
        <w:rPr>
          <w:sz w:val="18"/>
          <w:szCs w:val="18"/>
        </w:rPr>
        <w:br w:type="textWrapping"/>
      </w: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r>
        <w:rPr>
          <w:sz w:val="18"/>
          <w:szCs w:val="18"/>
        </w:rPr>
        <w:br w:type="textWrapping"/>
      </w:r>
      <w:r>
        <w:rPr>
          <w:sz w:val="18"/>
          <w:szCs w:val="18"/>
        </w:rPr>
        <w:t>4.其他强制执行方式，如《城乡规划法》规定的强制拆除；《煤炭法》规定的强制停产、强制消除安全隐患；《金银管理条例》规 定的强制收购；《外汇管理条例》规定的回兑等。</w:t>
      </w:r>
      <w:r>
        <w:rPr>
          <w:sz w:val="18"/>
          <w:szCs w:val="18"/>
        </w:rPr>
        <w:br w:type="textWrapping"/>
      </w:r>
      <w:r>
        <w:rPr>
          <w:sz w:val="18"/>
          <w:szCs w:val="18"/>
        </w:rPr>
        <w:t>5.申请法院强制执行数量是指向法院申请强制执行的数量，时间以申请日期为准。</w:t>
      </w: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rPr>
        <w:t>肥城市</w:t>
      </w:r>
      <w:r>
        <w:rPr>
          <w:rFonts w:hint="eastAsia" w:ascii="方正小标宋简体" w:eastAsia="方正小标宋简体" w:cs="文星标宋"/>
          <w:sz w:val="40"/>
          <w:szCs w:val="32"/>
          <w:u w:val="single"/>
          <w:lang w:eastAsia="zh-CN"/>
        </w:rPr>
        <w:t>人力资源和社会保障</w:t>
      </w:r>
      <w:r>
        <w:rPr>
          <w:rFonts w:ascii="方正小标宋简体" w:eastAsia="方正小标宋简体" w:cs="文星标宋"/>
          <w:sz w:val="40"/>
          <w:szCs w:val="32"/>
          <w:u w:val="single"/>
        </w:rPr>
        <w:t>局</w:t>
      </w:r>
      <w:r>
        <w:rPr>
          <w:rFonts w:hint="eastAsia" w:ascii="方正小标宋简体" w:eastAsia="方正小标宋简体" w:cs="文星标宋"/>
          <w:sz w:val="40"/>
          <w:szCs w:val="32"/>
        </w:rPr>
        <w:t>2022年度行政征收征用情况统计表</w:t>
      </w:r>
    </w:p>
    <w:p>
      <w:pPr>
        <w:spacing w:line="480" w:lineRule="exact"/>
        <w:rPr>
          <w:rFonts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hint="eastAsia" w:ascii="仿宋_GB2312" w:eastAsia="仿宋_GB2312" w:cs="仿宋_GB2312"/>
                <w:sz w:val="28"/>
                <w:szCs w:val="28"/>
              </w:rPr>
            </w:pPr>
            <w:r>
              <w:rPr>
                <w:rFonts w:hint="eastAsia" w:ascii="仿宋_GB2312" w:eastAsia="仿宋_GB2312" w:cs="仿宋_GB2312"/>
                <w:sz w:val="28"/>
                <w:szCs w:val="28"/>
              </w:rPr>
              <w:t>肥城市人力资源和社会保障局</w:t>
            </w:r>
          </w:p>
        </w:tc>
        <w:tc>
          <w:tcPr>
            <w:tcW w:w="1980"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0</w:t>
            </w:r>
          </w:p>
        </w:tc>
        <w:tc>
          <w:tcPr>
            <w:tcW w:w="2488"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0</w:t>
            </w:r>
          </w:p>
        </w:tc>
        <w:tc>
          <w:tcPr>
            <w:tcW w:w="3453"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0</w:t>
            </w:r>
          </w:p>
        </w:tc>
        <w:tc>
          <w:tcPr>
            <w:tcW w:w="2602"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0</w:t>
            </w:r>
          </w:p>
        </w:tc>
      </w:tr>
    </w:tbl>
    <w:p>
      <w:pPr>
        <w:spacing w:line="280" w:lineRule="exact"/>
      </w:pPr>
      <w:r>
        <w:rPr>
          <w:rFonts w:hint="eastAsia" w:ascii="黑体" w:eastAsia="黑体" w:cs="黑体"/>
        </w:rPr>
        <w:t>填表说明：</w:t>
      </w:r>
      <w:r>
        <w:t>1.统计范围为本年度 1月1日至12月31日。</w:t>
      </w:r>
    </w:p>
    <w:p>
      <w:pPr>
        <w:spacing w:line="280" w:lineRule="exact"/>
        <w:ind w:left="958" w:leftChars="456"/>
      </w:pPr>
      <w:r>
        <w:rPr>
          <w:rFonts w:hint="eastAsia" w:ascii="仿宋_GB2312" w:eastAsia="仿宋_GB2312" w:cs="仿宋_GB2312"/>
          <w:sz w:val="24"/>
        </w:rPr>
        <w:t xml:space="preserve"> </w:t>
      </w: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jc w:val="center"/>
        <w:rPr>
          <w:rFonts w:ascii="文星标宋" w:eastAsia="文星标宋" w:cs="文星标宋"/>
          <w:sz w:val="44"/>
          <w:szCs w:val="44"/>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u w:val="single"/>
        </w:rPr>
        <w:t>肥城市</w:t>
      </w:r>
      <w:r>
        <w:rPr>
          <w:rFonts w:hint="eastAsia" w:ascii="方正小标宋简体" w:eastAsia="方正小标宋简体" w:cs="文星标宋"/>
          <w:sz w:val="40"/>
          <w:szCs w:val="32"/>
          <w:u w:val="single"/>
          <w:lang w:eastAsia="zh-CN"/>
        </w:rPr>
        <w:t>人力资源和社会保障</w:t>
      </w:r>
      <w:r>
        <w:rPr>
          <w:rFonts w:ascii="方正小标宋简体" w:eastAsia="方正小标宋简体" w:cs="文星标宋"/>
          <w:sz w:val="40"/>
          <w:szCs w:val="32"/>
          <w:u w:val="single"/>
        </w:rPr>
        <w:t>局</w:t>
      </w:r>
      <w:r>
        <w:rPr>
          <w:rFonts w:hint="eastAsia" w:ascii="方正小标宋简体" w:eastAsia="方正小标宋简体" w:cs="文星标宋"/>
          <w:sz w:val="40"/>
          <w:szCs w:val="32"/>
        </w:rPr>
        <w:t>2022年度行政检查情况统计表</w:t>
      </w:r>
    </w:p>
    <w:p>
      <w:pPr>
        <w:spacing w:line="480" w:lineRule="exact"/>
        <w:rPr>
          <w:rFonts w:ascii="仿宋_GB2312" w:eastAsia="仿宋_GB2312" w:cs="仿宋_GB2312"/>
          <w:sz w:val="24"/>
        </w:rPr>
      </w:pPr>
    </w:p>
    <w:tbl>
      <w:tblPr>
        <w:tblStyle w:val="4"/>
        <w:tblW w:w="1275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trPr>
        <w:tc>
          <w:tcPr>
            <w:tcW w:w="6379" w:type="dxa"/>
            <w:vAlign w:val="center"/>
          </w:tcPr>
          <w:p>
            <w:pPr>
              <w:spacing w:line="320" w:lineRule="exact"/>
              <w:jc w:val="center"/>
              <w:rPr>
                <w:rFonts w:hint="eastAsia" w:ascii="仿宋_GB2312" w:eastAsia="仿宋_GB2312" w:cs="仿宋_GB2312"/>
                <w:sz w:val="24"/>
              </w:rPr>
            </w:pPr>
            <w:r>
              <w:rPr>
                <w:rFonts w:hint="eastAsia" w:ascii="仿宋_GB2312" w:eastAsia="仿宋_GB2312" w:cs="仿宋_GB2312"/>
                <w:sz w:val="28"/>
                <w:szCs w:val="28"/>
              </w:rPr>
              <w:t>肥城市人力资源和社会保障局</w:t>
            </w:r>
          </w:p>
        </w:tc>
        <w:tc>
          <w:tcPr>
            <w:tcW w:w="6379" w:type="dxa"/>
            <w:vAlign w:val="center"/>
          </w:tcPr>
          <w:p>
            <w:pPr>
              <w:spacing w:line="480" w:lineRule="exac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227</w:t>
            </w:r>
            <w:bookmarkStart w:id="0" w:name="_GoBack"/>
            <w:bookmarkEnd w:id="0"/>
          </w:p>
        </w:tc>
      </w:tr>
    </w:tbl>
    <w:p>
      <w:pPr>
        <w:spacing w:line="480" w:lineRule="exact"/>
        <w:ind w:left="1050" w:hanging="1050" w:hangingChars="500"/>
        <w:rPr>
          <w:rFonts w:ascii="仿宋_GB2312" w:eastAsia="仿宋_GB2312" w:cs="仿宋_GB2312"/>
          <w:sz w:val="24"/>
        </w:rPr>
      </w:pPr>
      <w:r>
        <w:t>填表说明：1.统计范围为本年度 1月1日至12月31日。</w:t>
      </w:r>
      <w:r>
        <w:br w:type="textWrapping"/>
      </w:r>
      <w:r>
        <w:t>2.行政检查的次数是指检查1个检查对象，有完整、详细的检查记录，计为检查1次。无特定检查对象的巡查、巡逻，无完整、详细检查记录，检查后作出行政处罚等其他行政执法行为的，均不计为检查次数。</w:t>
      </w: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8BFF29-EBA0-4C1A-BC91-4531CCE5610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11E4484-C3AA-47D6-BEEF-259944C6D8D7}"/>
  </w:font>
  <w:font w:name="方正小标宋简体">
    <w:panose1 w:val="02000000000000000000"/>
    <w:charset w:val="86"/>
    <w:family w:val="auto"/>
    <w:pitch w:val="default"/>
    <w:sig w:usb0="00000001" w:usb1="080E0000" w:usb2="00000000" w:usb3="00000000" w:csb0="00040000" w:csb1="00000000"/>
    <w:embedRegular r:id="rId3" w:fontKey="{28E6C0B0-CDBC-4447-8E30-3048E0AAFD3A}"/>
  </w:font>
  <w:font w:name="文星标宋">
    <w:altName w:val="微软雅黑"/>
    <w:panose1 w:val="00000000000000000000"/>
    <w:charset w:val="86"/>
    <w:family w:val="auto"/>
    <w:pitch w:val="default"/>
    <w:sig w:usb0="00000000" w:usb1="00000000" w:usb2="00000000" w:usb3="00000000" w:csb0="00040001" w:csb1="00000000"/>
    <w:embedRegular r:id="rId4" w:fontKey="{2FD18A78-2819-4A02-AB97-1126489DDC15}"/>
  </w:font>
  <w:font w:name="仿宋_GB2312">
    <w:panose1 w:val="02010609030101010101"/>
    <w:charset w:val="86"/>
    <w:family w:val="modern"/>
    <w:pitch w:val="default"/>
    <w:sig w:usb0="00000001" w:usb1="080E0000" w:usb2="00000000" w:usb3="00000000" w:csb0="00040000" w:csb1="00000000"/>
    <w:embedRegular r:id="rId5" w:fontKey="{68A78EE3-70C5-4DEE-A84A-F22546B7FD9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5</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iOTllNTVmYzM0OWJjZWRmMDc1NWMzMjBjZmU1NmUifQ=="/>
  </w:docVars>
  <w:rsids>
    <w:rsidRoot w:val="00B9419D"/>
    <w:rsid w:val="00032F32"/>
    <w:rsid w:val="000E3C72"/>
    <w:rsid w:val="00123C98"/>
    <w:rsid w:val="002A6F29"/>
    <w:rsid w:val="003521B6"/>
    <w:rsid w:val="003D4824"/>
    <w:rsid w:val="004A5BFB"/>
    <w:rsid w:val="004C625A"/>
    <w:rsid w:val="00567E2A"/>
    <w:rsid w:val="006137DC"/>
    <w:rsid w:val="00736F2D"/>
    <w:rsid w:val="008801D3"/>
    <w:rsid w:val="00A70E9E"/>
    <w:rsid w:val="00B06498"/>
    <w:rsid w:val="00B9419D"/>
    <w:rsid w:val="00BE5659"/>
    <w:rsid w:val="00CA6082"/>
    <w:rsid w:val="00D11920"/>
    <w:rsid w:val="00D54D89"/>
    <w:rsid w:val="00E33241"/>
    <w:rsid w:val="00F3727E"/>
    <w:rsid w:val="00F85CE9"/>
    <w:rsid w:val="1F071EB1"/>
    <w:rsid w:val="79C54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5</Pages>
  <Words>1722</Words>
  <Characters>1775</Characters>
  <Lines>14</Lines>
  <Paragraphs>3</Paragraphs>
  <TotalTime>1</TotalTime>
  <ScaleCrop>false</ScaleCrop>
  <LinksUpToDate>false</LinksUpToDate>
  <CharactersWithSpaces>1790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2023-01-13T08:27:00Z</dcterms:created>
  <dc:creator>肥城市法制办公室系统管理员</dc:creator>
  <cp:lastModifiedBy>灭日鹰π</cp:lastModifiedBy>
  <dcterms:modified xsi:type="dcterms:W3CDTF">2023-01-29T08:05:51Z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753EF8A6DC5943189D46935EAF02AD5F</vt:lpwstr>
  </property>
</Properties>
</file>