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jc w:val="both"/>
        <w:rPr>
          <w:rFonts w:ascii="Times New Roman" w:hAnsi="Times New Roman" w:eastAsia="黑体"/>
          <w:color w:val="333333"/>
          <w:sz w:val="32"/>
          <w:szCs w:val="32"/>
        </w:rPr>
      </w:pPr>
    </w:p>
    <w:p>
      <w:pPr>
        <w:pStyle w:val="2"/>
        <w:spacing w:before="0" w:beforeAutospacing="0" w:after="0" w:afterAutospacing="0" w:line="600" w:lineRule="exact"/>
        <w:jc w:val="both"/>
        <w:rPr>
          <w:rFonts w:ascii="Times New Roman" w:hAnsi="Times New Roman" w:eastAsia="黑体"/>
          <w:color w:val="333333"/>
          <w:sz w:val="32"/>
          <w:szCs w:val="32"/>
        </w:rPr>
      </w:pPr>
    </w:p>
    <w:p>
      <w:pPr>
        <w:pStyle w:val="2"/>
        <w:spacing w:before="0" w:beforeAutospacing="0" w:after="0" w:afterAutospacing="0" w:line="600" w:lineRule="exact"/>
        <w:jc w:val="both"/>
        <w:rPr>
          <w:rFonts w:ascii="Times New Roman" w:hAnsi="Times New Roman" w:eastAsia="黑体"/>
          <w:color w:val="333333"/>
          <w:sz w:val="32"/>
          <w:szCs w:val="32"/>
        </w:rPr>
      </w:pPr>
    </w:p>
    <w:p>
      <w:pPr>
        <w:pStyle w:val="2"/>
        <w:spacing w:before="0" w:beforeAutospacing="0" w:after="0" w:afterAutospacing="0" w:line="600" w:lineRule="exact"/>
        <w:jc w:val="center"/>
        <w:rPr>
          <w:rFonts w:ascii="Times New Roman" w:hAnsi="Times New Roman" w:eastAsia="方正小标宋简体"/>
          <w:color w:val="333333"/>
          <w:spacing w:val="10"/>
          <w:sz w:val="44"/>
          <w:szCs w:val="44"/>
        </w:rPr>
      </w:pPr>
      <w:r>
        <w:rPr>
          <w:rFonts w:hint="eastAsia" w:ascii="Times New Roman" w:hAnsi="Times New Roman" w:eastAsia="方正小标宋简体"/>
          <w:color w:val="333333"/>
          <w:spacing w:val="10"/>
          <w:sz w:val="44"/>
          <w:szCs w:val="44"/>
          <w:lang w:eastAsia="zh-CN"/>
        </w:rPr>
        <w:t>肥城市住房和城乡建设局</w:t>
      </w:r>
      <w:r>
        <w:rPr>
          <w:rFonts w:hint="eastAsia" w:ascii="Times New Roman" w:hAnsi="Times New Roman" w:eastAsia="方正小标宋简体"/>
          <w:color w:val="333333"/>
          <w:spacing w:val="10"/>
          <w:sz w:val="44"/>
          <w:szCs w:val="44"/>
        </w:rPr>
        <w:t>2020</w:t>
      </w:r>
      <w:r>
        <w:rPr>
          <w:rFonts w:ascii="Times New Roman" w:hAnsi="Times New Roman" w:eastAsia="方正小标宋简体"/>
          <w:color w:val="333333"/>
          <w:spacing w:val="10"/>
          <w:sz w:val="44"/>
          <w:szCs w:val="44"/>
        </w:rPr>
        <w:t>年政府</w:t>
      </w:r>
    </w:p>
    <w:p>
      <w:pPr>
        <w:pStyle w:val="2"/>
        <w:spacing w:before="0" w:beforeAutospacing="0" w:after="0" w:afterAutospacing="0" w:line="600" w:lineRule="exact"/>
        <w:jc w:val="center"/>
        <w:rPr>
          <w:rFonts w:ascii="Times New Roman" w:hAnsi="Times New Roman" w:eastAsia="方正小标宋简体"/>
          <w:color w:val="333333"/>
          <w:spacing w:val="10"/>
          <w:sz w:val="44"/>
          <w:szCs w:val="44"/>
        </w:rPr>
      </w:pPr>
      <w:r>
        <w:rPr>
          <w:rFonts w:ascii="Times New Roman" w:hAnsi="Times New Roman" w:eastAsia="方正小标宋简体"/>
          <w:color w:val="333333"/>
          <w:spacing w:val="10"/>
          <w:sz w:val="44"/>
          <w:szCs w:val="44"/>
        </w:rPr>
        <w:t>信息公开工作年度报告</w:t>
      </w:r>
    </w:p>
    <w:p>
      <w:pPr>
        <w:pStyle w:val="2"/>
        <w:spacing w:before="0" w:beforeAutospacing="0" w:after="0" w:afterAutospacing="0" w:line="600" w:lineRule="exact"/>
        <w:ind w:firstLine="880" w:firstLineChars="200"/>
        <w:jc w:val="both"/>
        <w:rPr>
          <w:rFonts w:ascii="Times New Roman" w:hAnsi="Times New Roman" w:eastAsia="方正小标宋简体"/>
          <w:sz w:val="44"/>
          <w:szCs w:val="44"/>
        </w:rPr>
      </w:pPr>
    </w:p>
    <w:p>
      <w:pPr>
        <w:pStyle w:val="2"/>
        <w:spacing w:before="0" w:beforeAutospacing="0" w:after="0" w:afterAutospacing="0" w:line="600"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根据《中华人民共和国政府信息公开条例》，特向社会公布</w:t>
      </w:r>
      <w:r>
        <w:rPr>
          <w:rFonts w:hint="eastAsia" w:ascii="Times New Roman" w:hAnsi="Times New Roman" w:eastAsia="仿宋_GB2312"/>
          <w:color w:val="333333"/>
          <w:sz w:val="32"/>
          <w:szCs w:val="32"/>
        </w:rPr>
        <w:t>2020</w:t>
      </w:r>
      <w:r>
        <w:rPr>
          <w:rFonts w:ascii="Times New Roman" w:hAnsi="Times New Roman" w:eastAsia="仿宋_GB2312"/>
          <w:color w:val="333333"/>
          <w:sz w:val="32"/>
          <w:szCs w:val="32"/>
        </w:rPr>
        <w:t>年度本机关政府信息公开工作年度报告。全文包括：总体情况；主动公开政府信息情况；收到和处理政府信息公开申请情况；因政府信息公开工作被申请行政复议、提起行政诉讼情况；政府信息公开工作存在的主要问题及改进情况；其他需要报告的事项。</w:t>
      </w:r>
    </w:p>
    <w:p>
      <w:pPr>
        <w:pStyle w:val="2"/>
        <w:spacing w:before="0" w:beforeAutospacing="0" w:after="0" w:afterAutospacing="0" w:line="600" w:lineRule="exact"/>
        <w:ind w:firstLine="640" w:firstLineChars="200"/>
        <w:jc w:val="both"/>
        <w:rPr>
          <w:rFonts w:hint="eastAsia" w:ascii="Times New Roman" w:hAnsi="Times New Roman" w:eastAsia="仿宋_GB2312"/>
          <w:b w:val="0"/>
          <w:bCs w:val="0"/>
          <w:sz w:val="32"/>
          <w:szCs w:val="32"/>
          <w:lang w:eastAsia="zh-CN"/>
        </w:rPr>
      </w:pPr>
      <w:r>
        <w:rPr>
          <w:rFonts w:ascii="Times New Roman" w:hAnsi="Times New Roman" w:eastAsia="仿宋_GB2312"/>
          <w:b w:val="0"/>
          <w:bCs w:val="0"/>
          <w:color w:val="333333"/>
          <w:sz w:val="32"/>
          <w:szCs w:val="32"/>
        </w:rPr>
        <w:t>报告中所列数据的统计期限自</w:t>
      </w:r>
      <w:r>
        <w:rPr>
          <w:rFonts w:hint="eastAsia" w:ascii="Times New Roman" w:hAnsi="Times New Roman" w:eastAsia="仿宋_GB2312"/>
          <w:b w:val="0"/>
          <w:bCs w:val="0"/>
          <w:color w:val="333333"/>
          <w:sz w:val="32"/>
          <w:szCs w:val="32"/>
        </w:rPr>
        <w:t>2020</w:t>
      </w:r>
      <w:r>
        <w:rPr>
          <w:rFonts w:ascii="Times New Roman" w:hAnsi="Times New Roman" w:eastAsia="仿宋_GB2312"/>
          <w:b w:val="0"/>
          <w:bCs w:val="0"/>
          <w:color w:val="333333"/>
          <w:sz w:val="32"/>
          <w:szCs w:val="32"/>
        </w:rPr>
        <w:t>年1月1日起至</w:t>
      </w:r>
      <w:r>
        <w:rPr>
          <w:rFonts w:hint="eastAsia" w:ascii="Times New Roman" w:hAnsi="Times New Roman" w:eastAsia="仿宋_GB2312"/>
          <w:b w:val="0"/>
          <w:bCs w:val="0"/>
          <w:color w:val="333333"/>
          <w:sz w:val="32"/>
          <w:szCs w:val="32"/>
        </w:rPr>
        <w:t>2020</w:t>
      </w:r>
      <w:r>
        <w:rPr>
          <w:rFonts w:ascii="Times New Roman" w:hAnsi="Times New Roman" w:eastAsia="仿宋_GB2312"/>
          <w:b w:val="0"/>
          <w:bCs w:val="0"/>
          <w:color w:val="333333"/>
          <w:sz w:val="32"/>
          <w:szCs w:val="32"/>
        </w:rPr>
        <w:t>年12月31日止。报告的电子版可在市政府门户“中国</w:t>
      </w:r>
      <w:r>
        <w:rPr>
          <w:rFonts w:hint="eastAsia" w:ascii="Times New Roman" w:hAnsi="Times New Roman" w:eastAsia="仿宋_GB2312"/>
          <w:b w:val="0"/>
          <w:bCs w:val="0"/>
          <w:color w:val="333333"/>
          <w:sz w:val="32"/>
          <w:szCs w:val="32"/>
          <w:lang w:eastAsia="zh-CN"/>
        </w:rPr>
        <w:t>肥城</w:t>
      </w:r>
      <w:r>
        <w:rPr>
          <w:rFonts w:ascii="Times New Roman" w:hAnsi="Times New Roman" w:eastAsia="仿宋_GB2312"/>
          <w:b w:val="0"/>
          <w:bCs w:val="0"/>
          <w:color w:val="333333"/>
          <w:sz w:val="32"/>
          <w:szCs w:val="32"/>
        </w:rPr>
        <w:t>”（www.</w:t>
      </w:r>
      <w:r>
        <w:rPr>
          <w:rFonts w:hint="eastAsia" w:ascii="Times New Roman" w:hAnsi="Times New Roman" w:eastAsia="仿宋_GB2312"/>
          <w:b w:val="0"/>
          <w:bCs w:val="0"/>
          <w:color w:val="333333"/>
          <w:sz w:val="32"/>
          <w:szCs w:val="32"/>
          <w:lang w:val="en-US" w:eastAsia="zh-CN"/>
        </w:rPr>
        <w:t>feicheng</w:t>
      </w:r>
      <w:r>
        <w:rPr>
          <w:rFonts w:ascii="Times New Roman" w:hAnsi="Times New Roman" w:eastAsia="仿宋_GB2312"/>
          <w:b w:val="0"/>
          <w:bCs w:val="0"/>
          <w:color w:val="333333"/>
          <w:sz w:val="32"/>
          <w:szCs w:val="32"/>
        </w:rPr>
        <w:t>.gov.cn）下载。如对本报告有任何疑问，请与</w:t>
      </w:r>
      <w:r>
        <w:rPr>
          <w:rFonts w:hint="eastAsia" w:ascii="Times New Roman" w:hAnsi="Times New Roman" w:eastAsia="仿宋_GB2312"/>
          <w:b w:val="0"/>
          <w:bCs w:val="0"/>
          <w:color w:val="333333"/>
          <w:sz w:val="32"/>
          <w:szCs w:val="32"/>
          <w:lang w:eastAsia="zh-CN"/>
        </w:rPr>
        <w:t>肥城市住房和城乡建设局</w:t>
      </w:r>
      <w:r>
        <w:rPr>
          <w:rFonts w:ascii="Times New Roman" w:hAnsi="Times New Roman" w:eastAsia="仿宋_GB2312"/>
          <w:b w:val="0"/>
          <w:bCs w:val="0"/>
          <w:color w:val="333333"/>
          <w:sz w:val="32"/>
          <w:szCs w:val="32"/>
        </w:rPr>
        <w:t>联系（地址：</w:t>
      </w:r>
      <w:r>
        <w:rPr>
          <w:rFonts w:hint="eastAsia" w:ascii="Times New Roman" w:hAnsi="Times New Roman" w:eastAsia="仿宋_GB2312"/>
          <w:b w:val="0"/>
          <w:bCs w:val="0"/>
          <w:color w:val="333333"/>
          <w:sz w:val="32"/>
          <w:szCs w:val="32"/>
          <w:lang w:eastAsia="zh-CN"/>
        </w:rPr>
        <w:t>肥城市向阳街</w:t>
      </w:r>
      <w:r>
        <w:rPr>
          <w:rFonts w:hint="eastAsia" w:ascii="Times New Roman" w:hAnsi="Times New Roman" w:eastAsia="仿宋_GB2312"/>
          <w:b w:val="0"/>
          <w:bCs w:val="0"/>
          <w:color w:val="333333"/>
          <w:sz w:val="32"/>
          <w:szCs w:val="32"/>
          <w:lang w:val="en-US" w:eastAsia="zh-CN"/>
        </w:rPr>
        <w:t>30号</w:t>
      </w:r>
      <w:r>
        <w:rPr>
          <w:rFonts w:ascii="Times New Roman" w:hAnsi="Times New Roman" w:eastAsia="仿宋_GB2312"/>
          <w:b w:val="0"/>
          <w:bCs w:val="0"/>
          <w:color w:val="333333"/>
          <w:sz w:val="32"/>
          <w:szCs w:val="32"/>
        </w:rPr>
        <w:t>；邮编：</w:t>
      </w:r>
      <w:r>
        <w:rPr>
          <w:rFonts w:hint="eastAsia" w:ascii="Times New Roman" w:hAnsi="Times New Roman" w:eastAsia="仿宋_GB2312"/>
          <w:b w:val="0"/>
          <w:bCs w:val="0"/>
          <w:color w:val="333333"/>
          <w:sz w:val="32"/>
          <w:szCs w:val="32"/>
          <w:lang w:val="en-US" w:eastAsia="zh-CN"/>
        </w:rPr>
        <w:t>271600</w:t>
      </w:r>
      <w:r>
        <w:rPr>
          <w:rFonts w:ascii="Times New Roman" w:hAnsi="Times New Roman" w:eastAsia="仿宋_GB2312"/>
          <w:b w:val="0"/>
          <w:bCs w:val="0"/>
          <w:color w:val="333333"/>
          <w:sz w:val="32"/>
          <w:szCs w:val="32"/>
        </w:rPr>
        <w:t>；电话：</w:t>
      </w:r>
      <w:r>
        <w:rPr>
          <w:rFonts w:hint="eastAsia" w:ascii="Times New Roman" w:hAnsi="Times New Roman" w:eastAsia="仿宋_GB2312"/>
          <w:b w:val="0"/>
          <w:bCs w:val="0"/>
          <w:color w:val="333333"/>
          <w:sz w:val="32"/>
          <w:szCs w:val="32"/>
          <w:lang w:val="en-US" w:eastAsia="zh-CN"/>
        </w:rPr>
        <w:t>0538-3212759</w:t>
      </w:r>
      <w:r>
        <w:rPr>
          <w:rFonts w:ascii="Times New Roman" w:hAnsi="Times New Roman" w:eastAsia="仿宋_GB2312"/>
          <w:b w:val="0"/>
          <w:bCs w:val="0"/>
          <w:color w:val="333333"/>
          <w:sz w:val="32"/>
          <w:szCs w:val="32"/>
        </w:rPr>
        <w:t>；传真：</w:t>
      </w:r>
      <w:r>
        <w:rPr>
          <w:rFonts w:hint="eastAsia" w:ascii="Times New Roman" w:hAnsi="Times New Roman" w:eastAsia="仿宋_GB2312"/>
          <w:b w:val="0"/>
          <w:bCs w:val="0"/>
          <w:color w:val="333333"/>
          <w:sz w:val="32"/>
          <w:szCs w:val="32"/>
          <w:lang w:val="en-US" w:eastAsia="zh-CN"/>
        </w:rPr>
        <w:t>0538-3212759</w:t>
      </w:r>
      <w:r>
        <w:rPr>
          <w:rFonts w:ascii="Times New Roman" w:hAnsi="Times New Roman" w:eastAsia="仿宋_GB2312"/>
          <w:b w:val="0"/>
          <w:bCs w:val="0"/>
          <w:color w:val="333333"/>
          <w:sz w:val="32"/>
          <w:szCs w:val="32"/>
        </w:rPr>
        <w:t>；电子邮箱：</w:t>
      </w:r>
      <w:r>
        <w:rPr>
          <w:rFonts w:hint="eastAsia" w:ascii="Times New Roman" w:hAnsi="Times New Roman" w:eastAsia="仿宋_GB2312"/>
          <w:b w:val="0"/>
          <w:bCs w:val="0"/>
          <w:color w:val="333333"/>
          <w:sz w:val="32"/>
          <w:szCs w:val="32"/>
          <w:lang w:val="en-US" w:eastAsia="zh-CN"/>
        </w:rPr>
        <w:t>feichengjianshe@163.com</w:t>
      </w:r>
      <w:r>
        <w:rPr>
          <w:rFonts w:ascii="Times New Roman" w:hAnsi="Times New Roman" w:eastAsia="仿宋_GB2312"/>
          <w:b w:val="0"/>
          <w:bCs w:val="0"/>
          <w:color w:val="333333"/>
          <w:sz w:val="32"/>
          <w:szCs w:val="32"/>
        </w:rPr>
        <w:t>)</w:t>
      </w:r>
      <w:r>
        <w:rPr>
          <w:rFonts w:hint="eastAsia" w:ascii="Times New Roman" w:hAnsi="Times New Roman" w:eastAsia="仿宋_GB2312"/>
          <w:b w:val="0"/>
          <w:bCs w:val="0"/>
          <w:color w:val="333333"/>
          <w:sz w:val="32"/>
          <w:szCs w:val="32"/>
          <w:lang w:eastAsia="zh-CN"/>
        </w:rPr>
        <w:t>。</w:t>
      </w:r>
    </w:p>
    <w:p>
      <w:pPr>
        <w:pStyle w:val="2"/>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color w:val="333333"/>
          <w:sz w:val="32"/>
          <w:szCs w:val="32"/>
        </w:rPr>
        <w:t>一、总体情况</w:t>
      </w:r>
    </w:p>
    <w:p>
      <w:pPr>
        <w:pStyle w:val="2"/>
        <w:spacing w:before="0" w:beforeAutospacing="0" w:after="0" w:afterAutospacing="0" w:line="600" w:lineRule="exact"/>
        <w:ind w:firstLine="640" w:firstLineChars="200"/>
        <w:jc w:val="both"/>
        <w:rPr>
          <w:rFonts w:hint="eastAsia" w:ascii="Times New Roman" w:hAnsi="Times New Roman" w:eastAsia="仿宋_GB2312"/>
          <w:color w:val="333333"/>
          <w:sz w:val="32"/>
          <w:szCs w:val="32"/>
          <w:lang w:val="en-US" w:eastAsia="zh-CN"/>
        </w:rPr>
      </w:pPr>
      <w:r>
        <w:rPr>
          <w:rFonts w:hint="eastAsia" w:ascii="Times New Roman" w:hAnsi="Times New Roman" w:eastAsia="仿宋_GB2312"/>
          <w:color w:val="333333"/>
          <w:sz w:val="32"/>
          <w:szCs w:val="32"/>
          <w:lang w:val="en-US" w:eastAsia="zh-CN"/>
        </w:rPr>
        <w:t>2020年，市住建局在市委、市政府领导下，认真贯彻落实《中华人民共和国政府信息公开条例》，切实做好政府信息公开工作。</w:t>
      </w:r>
    </w:p>
    <w:p>
      <w:pPr>
        <w:pStyle w:val="2"/>
        <w:spacing w:before="0" w:beforeAutospacing="0" w:after="0" w:afterAutospacing="0" w:line="600" w:lineRule="exact"/>
        <w:ind w:firstLine="640" w:firstLineChars="200"/>
        <w:jc w:val="both"/>
        <w:rPr>
          <w:rFonts w:hint="eastAsia" w:ascii="Times New Roman" w:hAnsi="Times New Roman" w:eastAsia="仿宋_GB2312"/>
          <w:color w:val="333333"/>
          <w:sz w:val="32"/>
          <w:szCs w:val="32"/>
          <w:lang w:val="en-US" w:eastAsia="zh-CN"/>
        </w:rPr>
      </w:pPr>
      <w:r>
        <w:rPr>
          <w:rFonts w:hint="eastAsia" w:ascii="Times New Roman" w:hAnsi="Times New Roman" w:eastAsia="仿宋_GB2312"/>
          <w:color w:val="333333"/>
          <w:sz w:val="32"/>
          <w:szCs w:val="32"/>
          <w:lang w:val="en-US" w:eastAsia="zh-CN"/>
        </w:rPr>
        <w:t>（一）</w:t>
      </w:r>
      <w:r>
        <w:rPr>
          <w:rFonts w:hint="eastAsia" w:ascii="Times New Roman" w:hAnsi="Times New Roman" w:eastAsia="仿宋_GB2312"/>
          <w:color w:val="333333"/>
          <w:sz w:val="32"/>
          <w:szCs w:val="32"/>
          <w:lang w:val="en-US" w:eastAsia="zh-CN"/>
        </w:rPr>
        <w:tab/>
      </w:r>
      <w:r>
        <w:rPr>
          <w:rFonts w:hint="eastAsia" w:ascii="Times New Roman" w:hAnsi="Times New Roman" w:eastAsia="仿宋_GB2312"/>
          <w:color w:val="333333"/>
          <w:sz w:val="32"/>
          <w:szCs w:val="32"/>
          <w:lang w:val="en-US" w:eastAsia="zh-CN"/>
        </w:rPr>
        <w:t>按照目录主动公开。严格对照目录要求，完善法定主动公开内容，重点针对“双随机、一公开”监管、行政执法公示、财政预决算、住房保障、用水安全等领域及时发布信息。全年共办理政府信息公开申请3件，在中国肥城门户网站、今日头条公众号主动公开发布信息70件。</w:t>
      </w:r>
    </w:p>
    <w:p>
      <w:pPr>
        <w:pStyle w:val="2"/>
        <w:spacing w:before="0" w:beforeAutospacing="0" w:after="0" w:afterAutospacing="0" w:line="600" w:lineRule="exact"/>
        <w:ind w:firstLine="640" w:firstLineChars="200"/>
        <w:jc w:val="both"/>
        <w:rPr>
          <w:rFonts w:hint="eastAsia" w:ascii="Times New Roman" w:hAnsi="Times New Roman" w:eastAsia="仿宋_GB2312"/>
          <w:color w:val="333333"/>
          <w:sz w:val="32"/>
          <w:szCs w:val="32"/>
          <w:lang w:val="en-US" w:eastAsia="zh-CN"/>
        </w:rPr>
      </w:pPr>
      <w:r>
        <w:rPr>
          <w:rFonts w:hint="eastAsia" w:ascii="Times New Roman" w:hAnsi="Times New Roman" w:eastAsia="仿宋_GB2312"/>
          <w:color w:val="333333"/>
          <w:sz w:val="32"/>
          <w:szCs w:val="32"/>
          <w:lang w:val="en-US" w:eastAsia="zh-CN"/>
        </w:rPr>
        <w:t>（二）抓好事前保密审查。结合业务工作流程和特点，明确事前审查的程序和责任，严格执行政府信息公开保密审查各项措施，按照“谁主管、谁负责；谁公开、谁审查”的原则，落实送审人、审查人、分管负责人三级审查制度，把保密审查工作落到平常、落到实处。</w:t>
      </w:r>
    </w:p>
    <w:p>
      <w:pPr>
        <w:pStyle w:val="2"/>
        <w:spacing w:before="0" w:beforeAutospacing="0" w:after="0" w:afterAutospacing="0" w:line="600" w:lineRule="exact"/>
        <w:ind w:firstLine="640" w:firstLineChars="200"/>
        <w:jc w:val="both"/>
        <w:rPr>
          <w:rFonts w:hint="eastAsia" w:ascii="Times New Roman" w:hAnsi="Times New Roman" w:eastAsia="仿宋_GB2312"/>
          <w:color w:val="333333"/>
          <w:sz w:val="32"/>
          <w:szCs w:val="32"/>
          <w:lang w:val="en-US" w:eastAsia="zh-CN"/>
        </w:rPr>
      </w:pPr>
      <w:r>
        <w:rPr>
          <w:rFonts w:hint="eastAsia" w:ascii="Times New Roman" w:hAnsi="Times New Roman" w:eastAsia="仿宋_GB2312"/>
          <w:color w:val="333333"/>
          <w:sz w:val="32"/>
          <w:szCs w:val="32"/>
          <w:lang w:val="en-US" w:eastAsia="zh-CN"/>
        </w:rPr>
        <w:t>（三）落实公开申请办理。坚持公开、透明、便民的原则，依法依规办理政府信息公开申请，按照“谁实施、谁答复”的原则，由有关业务科室针对申请内容予以落实答复意见，经分管负责人审核后，严格按照规定时限和申请人要求的方式给予答复。同时，主动与申请人进行联系，做好解释说明工作，争取申请人理解支持。</w:t>
      </w:r>
    </w:p>
    <w:p>
      <w:pPr>
        <w:pStyle w:val="2"/>
        <w:spacing w:before="0" w:beforeAutospacing="0" w:after="0" w:afterAutospacing="0" w:line="600" w:lineRule="exact"/>
        <w:ind w:firstLine="640" w:firstLineChars="200"/>
        <w:jc w:val="both"/>
        <w:rPr>
          <w:rFonts w:hint="eastAsia" w:ascii="Times New Roman" w:hAnsi="Times New Roman" w:eastAsia="仿宋_GB2312"/>
          <w:color w:val="333333"/>
          <w:sz w:val="32"/>
          <w:szCs w:val="32"/>
          <w:lang w:val="en-US" w:eastAsia="zh-CN"/>
        </w:rPr>
      </w:pPr>
      <w:r>
        <w:rPr>
          <w:rFonts w:hint="eastAsia" w:ascii="Times New Roman" w:hAnsi="Times New Roman" w:eastAsia="仿宋_GB2312"/>
          <w:color w:val="333333"/>
          <w:sz w:val="32"/>
          <w:szCs w:val="32"/>
          <w:lang w:val="en-US" w:eastAsia="zh-CN"/>
        </w:rPr>
        <w:t>（四）加强工作督促指导。加强对公用事业发展中心、排水管理处、建设工程质量和施工安全服务站等所属事业单位信息公开工作的指导，为便于协调调度，将各下属单位需要公开的信息统一汇总、统一审核、统一发布，避免了各自为战、标准不一等问题，有效提升了信息公开发布质量。</w:t>
      </w:r>
    </w:p>
    <w:p>
      <w:pPr>
        <w:pStyle w:val="2"/>
        <w:spacing w:before="0" w:beforeAutospacing="0" w:after="0" w:afterAutospacing="0" w:line="600" w:lineRule="exact"/>
        <w:ind w:firstLine="640" w:firstLineChars="200"/>
        <w:jc w:val="both"/>
        <w:rPr>
          <w:rFonts w:hint="eastAsia" w:ascii="Times New Roman" w:hAnsi="Times New Roman" w:eastAsia="仿宋_GB2312"/>
          <w:color w:val="333333"/>
          <w:sz w:val="32"/>
          <w:szCs w:val="32"/>
          <w:lang w:val="en-US" w:eastAsia="zh-CN"/>
        </w:rPr>
      </w:pPr>
      <w:r>
        <w:rPr>
          <w:rFonts w:hint="eastAsia" w:ascii="Times New Roman" w:hAnsi="Times New Roman" w:eastAsia="仿宋_GB2312"/>
          <w:color w:val="333333"/>
          <w:sz w:val="32"/>
          <w:szCs w:val="32"/>
          <w:lang w:val="en-US" w:eastAsia="zh-CN"/>
        </w:rPr>
        <w:t>（五）拓展信息公开渠道。在中国肥城门户网站平台发布各类政府信息的基础上，进一步拓展信息公开渠道，在市委宣传部和市政府办公室等部门指导下，在“今日头条”开设公众号，发布部门工作动态，与中国肥城门户网站形成互补，有效扩大了政府信息发布的覆盖面。</w:t>
      </w:r>
    </w:p>
    <w:p>
      <w:pPr>
        <w:pStyle w:val="2"/>
        <w:spacing w:before="0" w:beforeAutospacing="0" w:after="0" w:afterAutospacing="0" w:line="600" w:lineRule="exact"/>
        <w:ind w:firstLine="640" w:firstLineChars="200"/>
        <w:jc w:val="both"/>
        <w:rPr>
          <w:rFonts w:hint="default" w:ascii="Times New Roman" w:hAnsi="Times New Roman" w:eastAsia="仿宋_GB2312"/>
          <w:color w:val="333333"/>
          <w:sz w:val="32"/>
          <w:szCs w:val="32"/>
          <w:lang w:val="en-US" w:eastAsia="zh-CN"/>
        </w:rPr>
      </w:pPr>
      <w:r>
        <w:rPr>
          <w:rFonts w:hint="eastAsia" w:ascii="Times New Roman" w:hAnsi="Times New Roman" w:eastAsia="仿宋_GB2312"/>
          <w:color w:val="333333"/>
          <w:sz w:val="32"/>
          <w:szCs w:val="32"/>
          <w:lang w:val="en-US" w:eastAsia="zh-CN"/>
        </w:rPr>
        <w:t>（六）抓好监督保障工作。针对上级省政务新媒体检查考核中反馈的问题，第一时间积极进行核查，并采取切实有效的措施予以整改落实，制定长效机制。同时，制定信息公开相关制度，将信息公开工作纳入部门效能考核，明确奖惩措施，以考核促落实，使政府信息公开工作制度化、规范化。</w:t>
      </w:r>
    </w:p>
    <w:p>
      <w:pPr>
        <w:pStyle w:val="2"/>
        <w:spacing w:before="0" w:beforeAutospacing="0" w:after="0" w:afterAutospacing="0" w:line="600" w:lineRule="exact"/>
        <w:ind w:firstLine="640" w:firstLineChars="200"/>
        <w:jc w:val="both"/>
        <w:rPr>
          <w:rFonts w:ascii="黑体" w:hAnsi="黑体" w:eastAsia="黑体"/>
          <w:color w:val="333333"/>
          <w:sz w:val="32"/>
          <w:szCs w:val="32"/>
        </w:rPr>
      </w:pPr>
      <w:r>
        <w:rPr>
          <w:rFonts w:ascii="黑体" w:hAnsi="黑体" w:eastAsia="黑体"/>
          <w:color w:val="333333"/>
          <w:sz w:val="32"/>
          <w:szCs w:val="32"/>
        </w:rPr>
        <w:t>二、主动公开政府信息情况</w:t>
      </w:r>
    </w:p>
    <w:tbl>
      <w:tblPr>
        <w:tblStyle w:val="3"/>
        <w:tblW w:w="5000" w:type="pct"/>
        <w:jc w:val="center"/>
        <w:tblLayout w:type="autofit"/>
        <w:tblCellMar>
          <w:top w:w="0" w:type="dxa"/>
          <w:left w:w="0" w:type="dxa"/>
          <w:bottom w:w="0" w:type="dxa"/>
          <w:right w:w="0" w:type="dxa"/>
        </w:tblCellMar>
      </w:tblPr>
      <w:tblGrid>
        <w:gridCol w:w="3257"/>
        <w:gridCol w:w="1969"/>
        <w:gridCol w:w="1331"/>
        <w:gridCol w:w="1965"/>
      </w:tblGrid>
      <w:tr>
        <w:tblPrEx>
          <w:tblCellMar>
            <w:top w:w="0" w:type="dxa"/>
            <w:left w:w="0" w:type="dxa"/>
            <w:bottom w:w="0" w:type="dxa"/>
            <w:right w:w="0" w:type="dxa"/>
          </w:tblCellMar>
        </w:tblPrEx>
        <w:trPr>
          <w:trHeight w:val="495"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第二十条第（一）项</w:t>
            </w:r>
          </w:p>
        </w:tc>
      </w:tr>
      <w:tr>
        <w:tblPrEx>
          <w:tblCellMar>
            <w:top w:w="0" w:type="dxa"/>
            <w:left w:w="0" w:type="dxa"/>
            <w:bottom w:w="0" w:type="dxa"/>
            <w:right w:w="0" w:type="dxa"/>
          </w:tblCellMar>
        </w:tblPrEx>
        <w:trPr>
          <w:trHeight w:val="934" w:hRule="atLeast"/>
          <w:jc w:val="center"/>
        </w:trPr>
        <w:tc>
          <w:tcPr>
            <w:tcW w:w="1911"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信息内容</w:t>
            </w:r>
          </w:p>
        </w:tc>
        <w:tc>
          <w:tcPr>
            <w:tcW w:w="1152" w:type="pct"/>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本年新</w:t>
            </w:r>
            <w:r>
              <w:rPr>
                <w:rFonts w:ascii="Times New Roman" w:hAnsi="Times New Roman" w:eastAsia="宋体" w:cs="Times New Roman"/>
                <w:color w:val="000000"/>
                <w:kern w:val="0"/>
                <w:szCs w:val="21"/>
              </w:rPr>
              <w:br w:type="textWrapping"/>
            </w:r>
            <w:r>
              <w:rPr>
                <w:rFonts w:ascii="Times New Roman" w:hAnsi="Times New Roman" w:eastAsia="宋体" w:cs="Times New Roman"/>
                <w:kern w:val="0"/>
                <w:szCs w:val="21"/>
              </w:rPr>
              <w:t>制作数量</w:t>
            </w:r>
          </w:p>
        </w:tc>
        <w:tc>
          <w:tcPr>
            <w:tcW w:w="781"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本年新</w:t>
            </w:r>
            <w:r>
              <w:rPr>
                <w:rFonts w:ascii="Times New Roman" w:hAnsi="Times New Roman" w:eastAsia="宋体" w:cs="Times New Roman"/>
                <w:color w:val="000000"/>
                <w:kern w:val="0"/>
                <w:szCs w:val="21"/>
              </w:rPr>
              <w:br w:type="textWrapping"/>
            </w:r>
            <w:r>
              <w:rPr>
                <w:rFonts w:ascii="Times New Roman" w:hAnsi="Times New Roman" w:eastAsia="宋体" w:cs="Times New Roman"/>
                <w:kern w:val="0"/>
                <w:szCs w:val="21"/>
              </w:rPr>
              <w:t>公开数量</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对外公开总数量</w:t>
            </w:r>
          </w:p>
        </w:tc>
      </w:tr>
      <w:tr>
        <w:tblPrEx>
          <w:tblCellMar>
            <w:top w:w="0" w:type="dxa"/>
            <w:left w:w="0" w:type="dxa"/>
            <w:bottom w:w="0" w:type="dxa"/>
            <w:right w:w="0" w:type="dxa"/>
          </w:tblCellMar>
        </w:tblPrEx>
        <w:trPr>
          <w:trHeight w:val="471" w:hRule="atLeast"/>
          <w:jc w:val="center"/>
        </w:trPr>
        <w:tc>
          <w:tcPr>
            <w:tcW w:w="1911"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color w:val="000000"/>
                <w:kern w:val="0"/>
                <w:szCs w:val="21"/>
              </w:rPr>
              <w:t>规范性文件</w:t>
            </w:r>
          </w:p>
        </w:tc>
        <w:tc>
          <w:tcPr>
            <w:tcW w:w="1152"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color w:val="000000"/>
                <w:kern w:val="0"/>
                <w:szCs w:val="21"/>
                <w:lang w:val="en-US" w:eastAsia="zh-CN"/>
              </w:rPr>
              <w:t>0</w:t>
            </w:r>
          </w:p>
        </w:tc>
        <w:tc>
          <w:tcPr>
            <w:tcW w:w="78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color w:val="000000"/>
                <w:kern w:val="0"/>
                <w:szCs w:val="21"/>
                <w:lang w:val="en-US" w:eastAsia="zh-CN"/>
              </w:rPr>
              <w:t>0</w:t>
            </w:r>
          </w:p>
        </w:tc>
      </w:tr>
      <w:tr>
        <w:tblPrEx>
          <w:tblCellMar>
            <w:top w:w="0" w:type="dxa"/>
            <w:left w:w="0" w:type="dxa"/>
            <w:bottom w:w="0" w:type="dxa"/>
            <w:right w:w="0" w:type="dxa"/>
          </w:tblCellMar>
        </w:tblPrEx>
        <w:trPr>
          <w:trHeight w:val="601"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第二十条第（五）项</w:t>
            </w:r>
          </w:p>
        </w:tc>
      </w:tr>
      <w:tr>
        <w:tblPrEx>
          <w:tblCellMar>
            <w:top w:w="0" w:type="dxa"/>
            <w:left w:w="0" w:type="dxa"/>
            <w:bottom w:w="0" w:type="dxa"/>
            <w:right w:w="0" w:type="dxa"/>
          </w:tblCellMar>
        </w:tblPrEx>
        <w:trPr>
          <w:trHeight w:val="870" w:hRule="atLeast"/>
          <w:jc w:val="center"/>
        </w:trPr>
        <w:tc>
          <w:tcPr>
            <w:tcW w:w="1911"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信息内容</w:t>
            </w:r>
          </w:p>
        </w:tc>
        <w:tc>
          <w:tcPr>
            <w:tcW w:w="1152" w:type="pct"/>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上一年项目数量</w:t>
            </w:r>
          </w:p>
        </w:tc>
        <w:tc>
          <w:tcPr>
            <w:tcW w:w="781"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本年增/减</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处理决定数量</w:t>
            </w:r>
          </w:p>
        </w:tc>
      </w:tr>
      <w:tr>
        <w:tblPrEx>
          <w:tblCellMar>
            <w:top w:w="0" w:type="dxa"/>
            <w:left w:w="0" w:type="dxa"/>
            <w:bottom w:w="0" w:type="dxa"/>
            <w:right w:w="0" w:type="dxa"/>
          </w:tblCellMar>
        </w:tblPrEx>
        <w:trPr>
          <w:trHeight w:val="528" w:hRule="atLeast"/>
          <w:jc w:val="center"/>
        </w:trPr>
        <w:tc>
          <w:tcPr>
            <w:tcW w:w="1911"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color w:val="000000"/>
                <w:kern w:val="0"/>
                <w:szCs w:val="21"/>
              </w:rPr>
              <w:t>行政许可</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211</w:t>
            </w:r>
          </w:p>
        </w:tc>
        <w:tc>
          <w:tcPr>
            <w:tcW w:w="778"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289</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color w:val="000000"/>
                <w:kern w:val="0"/>
                <w:szCs w:val="21"/>
                <w:lang w:val="en-US" w:eastAsia="zh-CN"/>
              </w:rPr>
              <w:t>500</w:t>
            </w:r>
          </w:p>
        </w:tc>
      </w:tr>
      <w:tr>
        <w:tblPrEx>
          <w:tblCellMar>
            <w:top w:w="0" w:type="dxa"/>
            <w:left w:w="0" w:type="dxa"/>
            <w:bottom w:w="0" w:type="dxa"/>
            <w:right w:w="0" w:type="dxa"/>
          </w:tblCellMar>
        </w:tblPrEx>
        <w:trPr>
          <w:trHeight w:val="686" w:hRule="atLeast"/>
          <w:jc w:val="center"/>
        </w:trPr>
        <w:tc>
          <w:tcPr>
            <w:tcW w:w="1911"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color w:val="000000"/>
                <w:kern w:val="0"/>
                <w:szCs w:val="21"/>
              </w:rPr>
              <w:t>其他对外管理服务事项</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w:t>
            </w:r>
          </w:p>
        </w:tc>
        <w:tc>
          <w:tcPr>
            <w:tcW w:w="778"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w:t>
            </w:r>
          </w:p>
        </w:tc>
      </w:tr>
      <w:tr>
        <w:tblPrEx>
          <w:tblCellMar>
            <w:top w:w="0" w:type="dxa"/>
            <w:left w:w="0" w:type="dxa"/>
            <w:bottom w:w="0" w:type="dxa"/>
            <w:right w:w="0" w:type="dxa"/>
          </w:tblCellMar>
        </w:tblPrEx>
        <w:trPr>
          <w:trHeight w:val="669"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第二十条第（六）项</w:t>
            </w:r>
          </w:p>
        </w:tc>
      </w:tr>
      <w:tr>
        <w:tblPrEx>
          <w:tblCellMar>
            <w:top w:w="0" w:type="dxa"/>
            <w:left w:w="0" w:type="dxa"/>
            <w:bottom w:w="0" w:type="dxa"/>
            <w:right w:w="0" w:type="dxa"/>
          </w:tblCellMar>
        </w:tblPrEx>
        <w:trPr>
          <w:trHeight w:val="634" w:hRule="atLeast"/>
          <w:jc w:val="center"/>
        </w:trPr>
        <w:tc>
          <w:tcPr>
            <w:tcW w:w="1911"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信息内容</w:t>
            </w:r>
          </w:p>
        </w:tc>
        <w:tc>
          <w:tcPr>
            <w:tcW w:w="1152" w:type="pct"/>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上一年项目数量</w:t>
            </w:r>
          </w:p>
        </w:tc>
        <w:tc>
          <w:tcPr>
            <w:tcW w:w="781"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本年增/减</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处理决定数量</w:t>
            </w:r>
          </w:p>
        </w:tc>
      </w:tr>
      <w:tr>
        <w:tblPrEx>
          <w:tblCellMar>
            <w:top w:w="0" w:type="dxa"/>
            <w:left w:w="0" w:type="dxa"/>
            <w:bottom w:w="0" w:type="dxa"/>
            <w:right w:w="0" w:type="dxa"/>
          </w:tblCellMar>
        </w:tblPrEx>
        <w:trPr>
          <w:trHeight w:val="771" w:hRule="atLeast"/>
          <w:jc w:val="center"/>
        </w:trPr>
        <w:tc>
          <w:tcPr>
            <w:tcW w:w="1911"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color w:val="000000"/>
                <w:kern w:val="0"/>
                <w:szCs w:val="21"/>
              </w:rPr>
              <w:t>行政处罚</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color w:val="000000"/>
                <w:kern w:val="0"/>
                <w:szCs w:val="21"/>
                <w:lang w:val="en-US" w:eastAsia="zh-CN"/>
              </w:rPr>
              <w:t>0</w:t>
            </w:r>
          </w:p>
        </w:tc>
        <w:tc>
          <w:tcPr>
            <w:tcW w:w="778"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color w:val="000000"/>
                <w:kern w:val="0"/>
                <w:szCs w:val="21"/>
                <w:lang w:val="en-US" w:eastAsia="zh-CN"/>
              </w:rPr>
              <w:t>0</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color w:val="000000"/>
                <w:kern w:val="0"/>
                <w:szCs w:val="21"/>
                <w:lang w:val="en-US" w:eastAsia="zh-CN"/>
              </w:rPr>
              <w:t>0</w:t>
            </w:r>
          </w:p>
        </w:tc>
      </w:tr>
      <w:tr>
        <w:tblPrEx>
          <w:tblCellMar>
            <w:top w:w="0" w:type="dxa"/>
            <w:left w:w="0" w:type="dxa"/>
            <w:bottom w:w="0" w:type="dxa"/>
            <w:right w:w="0" w:type="dxa"/>
          </w:tblCellMar>
        </w:tblPrEx>
        <w:trPr>
          <w:trHeight w:val="679" w:hRule="atLeast"/>
          <w:jc w:val="center"/>
        </w:trPr>
        <w:tc>
          <w:tcPr>
            <w:tcW w:w="1911" w:type="pct"/>
            <w:tcBorders>
              <w:top w:val="nil"/>
              <w:left w:val="single" w:color="auto" w:sz="8" w:space="0"/>
              <w:bottom w:val="single" w:color="auto" w:sz="4" w:space="0"/>
              <w:right w:val="single" w:color="auto" w:sz="8" w:space="0"/>
            </w:tcBorders>
            <w:noWrap/>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color w:val="000000"/>
                <w:kern w:val="0"/>
                <w:szCs w:val="21"/>
              </w:rPr>
              <w:t>行政强制</w:t>
            </w:r>
          </w:p>
        </w:tc>
        <w:tc>
          <w:tcPr>
            <w:tcW w:w="1155" w:type="pct"/>
            <w:tcBorders>
              <w:top w:val="nil"/>
              <w:left w:val="nil"/>
              <w:bottom w:val="single" w:color="auto" w:sz="4"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color w:val="000000"/>
                <w:kern w:val="0"/>
                <w:szCs w:val="21"/>
                <w:lang w:val="en-US" w:eastAsia="zh-CN"/>
              </w:rPr>
              <w:t>0</w:t>
            </w:r>
          </w:p>
        </w:tc>
        <w:tc>
          <w:tcPr>
            <w:tcW w:w="778" w:type="pct"/>
            <w:tcBorders>
              <w:top w:val="nil"/>
              <w:left w:val="nil"/>
              <w:bottom w:val="single" w:color="auto" w:sz="4"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color w:val="000000"/>
                <w:kern w:val="0"/>
                <w:szCs w:val="21"/>
                <w:lang w:val="en-US" w:eastAsia="zh-CN"/>
              </w:rPr>
              <w:t>2</w:t>
            </w:r>
          </w:p>
        </w:tc>
        <w:tc>
          <w:tcPr>
            <w:tcW w:w="1155" w:type="pct"/>
            <w:tcBorders>
              <w:top w:val="nil"/>
              <w:left w:val="nil"/>
              <w:bottom w:val="single" w:color="auto" w:sz="4"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color w:val="000000"/>
                <w:kern w:val="0"/>
                <w:szCs w:val="21"/>
                <w:lang w:val="en-US" w:eastAsia="zh-CN"/>
              </w:rPr>
              <w:t>2</w:t>
            </w:r>
          </w:p>
        </w:tc>
      </w:tr>
      <w:tr>
        <w:tblPrEx>
          <w:tblCellMar>
            <w:top w:w="0" w:type="dxa"/>
            <w:left w:w="0" w:type="dxa"/>
            <w:bottom w:w="0" w:type="dxa"/>
            <w:right w:w="0" w:type="dxa"/>
          </w:tblCellMar>
        </w:tblPrEx>
        <w:trPr>
          <w:trHeight w:val="474" w:hRule="atLeast"/>
          <w:jc w:val="center"/>
        </w:trPr>
        <w:tc>
          <w:tcPr>
            <w:tcW w:w="5000" w:type="pct"/>
            <w:gridSpan w:val="4"/>
            <w:tcBorders>
              <w:top w:val="single" w:color="auto" w:sz="4"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第二十条第（八）项</w:t>
            </w:r>
          </w:p>
        </w:tc>
      </w:tr>
      <w:tr>
        <w:tblPrEx>
          <w:tblCellMar>
            <w:top w:w="0" w:type="dxa"/>
            <w:left w:w="0" w:type="dxa"/>
            <w:bottom w:w="0" w:type="dxa"/>
            <w:right w:w="0" w:type="dxa"/>
          </w:tblCellMar>
        </w:tblPrEx>
        <w:trPr>
          <w:trHeight w:val="270" w:hRule="atLeast"/>
          <w:jc w:val="center"/>
        </w:trPr>
        <w:tc>
          <w:tcPr>
            <w:tcW w:w="1911"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信息内容</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color w:val="000000"/>
                <w:kern w:val="0"/>
                <w:szCs w:val="21"/>
              </w:rPr>
              <w:t>上一年项目数量</w:t>
            </w:r>
          </w:p>
        </w:tc>
        <w:tc>
          <w:tcPr>
            <w:tcW w:w="1933" w:type="pct"/>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本年增/减</w:t>
            </w:r>
          </w:p>
        </w:tc>
      </w:tr>
      <w:tr>
        <w:tblPrEx>
          <w:tblCellMar>
            <w:top w:w="0" w:type="dxa"/>
            <w:left w:w="0" w:type="dxa"/>
            <w:bottom w:w="0" w:type="dxa"/>
            <w:right w:w="0" w:type="dxa"/>
          </w:tblCellMar>
        </w:tblPrEx>
        <w:trPr>
          <w:trHeight w:val="551" w:hRule="atLeast"/>
          <w:jc w:val="center"/>
        </w:trPr>
        <w:tc>
          <w:tcPr>
            <w:tcW w:w="1911"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color w:val="000000"/>
                <w:kern w:val="0"/>
                <w:szCs w:val="21"/>
              </w:rPr>
              <w:t>行政事业性收费</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348</w:t>
            </w:r>
          </w:p>
        </w:tc>
        <w:tc>
          <w:tcPr>
            <w:tcW w:w="1933" w:type="pct"/>
            <w:gridSpan w:val="2"/>
            <w:tcBorders>
              <w:top w:val="nil"/>
              <w:left w:val="nil"/>
              <w:bottom w:val="single" w:color="auto" w:sz="8" w:space="0"/>
              <w:right w:val="single" w:color="000000" w:sz="8" w:space="0"/>
            </w:tcBorders>
            <w:noWrap/>
            <w:tcMar>
              <w:left w:w="108" w:type="dxa"/>
              <w:right w:w="108" w:type="dxa"/>
            </w:tcMar>
            <w:vAlign w:val="center"/>
          </w:tcPr>
          <w:p>
            <w:pPr>
              <w:widowControl/>
              <w:spacing w:after="18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-31</w:t>
            </w:r>
          </w:p>
        </w:tc>
      </w:tr>
      <w:tr>
        <w:tblPrEx>
          <w:tblCellMar>
            <w:top w:w="0" w:type="dxa"/>
            <w:left w:w="0" w:type="dxa"/>
            <w:bottom w:w="0" w:type="dxa"/>
            <w:right w:w="0" w:type="dxa"/>
          </w:tblCellMar>
        </w:tblPrEx>
        <w:trPr>
          <w:trHeight w:val="476"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第二十条第（九）项</w:t>
            </w:r>
          </w:p>
        </w:tc>
      </w:tr>
      <w:tr>
        <w:tblPrEx>
          <w:tblCellMar>
            <w:top w:w="0" w:type="dxa"/>
            <w:left w:w="0" w:type="dxa"/>
            <w:bottom w:w="0" w:type="dxa"/>
            <w:right w:w="0" w:type="dxa"/>
          </w:tblCellMar>
        </w:tblPrEx>
        <w:trPr>
          <w:trHeight w:val="585" w:hRule="atLeast"/>
          <w:jc w:val="center"/>
        </w:trPr>
        <w:tc>
          <w:tcPr>
            <w:tcW w:w="1911"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信息内容</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采购项目数量</w:t>
            </w:r>
          </w:p>
        </w:tc>
        <w:tc>
          <w:tcPr>
            <w:tcW w:w="1933" w:type="pct"/>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color w:val="000000"/>
                <w:kern w:val="0"/>
                <w:szCs w:val="21"/>
              </w:rPr>
              <w:t>采购总金额</w:t>
            </w:r>
          </w:p>
        </w:tc>
      </w:tr>
      <w:tr>
        <w:tblPrEx>
          <w:tblCellMar>
            <w:top w:w="0" w:type="dxa"/>
            <w:left w:w="0" w:type="dxa"/>
            <w:bottom w:w="0" w:type="dxa"/>
            <w:right w:w="0" w:type="dxa"/>
          </w:tblCellMar>
        </w:tblPrEx>
        <w:trPr>
          <w:trHeight w:val="539" w:hRule="atLeast"/>
          <w:jc w:val="center"/>
        </w:trPr>
        <w:tc>
          <w:tcPr>
            <w:tcW w:w="1911"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color w:val="000000"/>
                <w:kern w:val="0"/>
                <w:szCs w:val="21"/>
              </w:rPr>
              <w:t>政府集中采购</w:t>
            </w:r>
          </w:p>
        </w:tc>
        <w:tc>
          <w:tcPr>
            <w:tcW w:w="1155" w:type="pct"/>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w:t>
            </w:r>
          </w:p>
        </w:tc>
        <w:tc>
          <w:tcPr>
            <w:tcW w:w="1933" w:type="pct"/>
            <w:gridSpan w:val="2"/>
            <w:tcBorders>
              <w:top w:val="nil"/>
              <w:left w:val="nil"/>
              <w:bottom w:val="single" w:color="auto" w:sz="8" w:space="0"/>
              <w:right w:val="single" w:color="000000" w:sz="8" w:space="0"/>
            </w:tcBorders>
            <w:noWrap/>
            <w:tcMar>
              <w:left w:w="108" w:type="dxa"/>
              <w:right w:w="108" w:type="dxa"/>
            </w:tcMar>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w:t>
            </w:r>
          </w:p>
        </w:tc>
      </w:tr>
    </w:tbl>
    <w:p>
      <w:pPr>
        <w:pStyle w:val="2"/>
        <w:spacing w:before="0" w:beforeAutospacing="0" w:after="0" w:afterAutospacing="0" w:line="600" w:lineRule="exact"/>
        <w:ind w:firstLine="640" w:firstLineChars="200"/>
        <w:jc w:val="both"/>
        <w:rPr>
          <w:rFonts w:ascii="黑体" w:hAnsi="黑体" w:eastAsia="黑体"/>
          <w:color w:val="333333"/>
          <w:sz w:val="32"/>
          <w:szCs w:val="32"/>
        </w:rPr>
      </w:pPr>
      <w:r>
        <w:rPr>
          <w:rFonts w:ascii="黑体" w:hAnsi="黑体" w:eastAsia="黑体"/>
          <w:color w:val="333333"/>
          <w:sz w:val="32"/>
          <w:szCs w:val="32"/>
        </w:rPr>
        <w:t>三、收到和处理政府信息公开申请情况</w:t>
      </w:r>
    </w:p>
    <w:p>
      <w:pPr>
        <w:pStyle w:val="2"/>
        <w:spacing w:before="0" w:beforeAutospacing="0" w:after="0" w:afterAutospacing="0" w:line="600" w:lineRule="exact"/>
        <w:ind w:firstLine="640" w:firstLineChars="200"/>
        <w:jc w:val="both"/>
        <w:rPr>
          <w:rFonts w:ascii="Times New Roman" w:hAnsi="Times New Roman" w:eastAsia="仿宋_GB2312"/>
          <w:sz w:val="32"/>
          <w:szCs w:val="32"/>
        </w:rPr>
      </w:pPr>
    </w:p>
    <w:tbl>
      <w:tblPr>
        <w:tblStyle w:val="3"/>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36"/>
        <w:gridCol w:w="846"/>
        <w:gridCol w:w="2302"/>
        <w:gridCol w:w="557"/>
        <w:gridCol w:w="665"/>
        <w:gridCol w:w="566"/>
        <w:gridCol w:w="898"/>
        <w:gridCol w:w="752"/>
        <w:gridCol w:w="661"/>
        <w:gridCol w:w="6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220" w:type="pct"/>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（本列数据的勾稽关系为：第一项加第二项之和，等于第三项加第四项之和）</w:t>
            </w:r>
          </w:p>
        </w:tc>
        <w:tc>
          <w:tcPr>
            <w:tcW w:w="2779" w:type="pct"/>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220" w:type="pct"/>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327" w:type="pct"/>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自然人</w:t>
            </w:r>
          </w:p>
        </w:tc>
        <w:tc>
          <w:tcPr>
            <w:tcW w:w="2078" w:type="pct"/>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法人或其他组织</w:t>
            </w:r>
          </w:p>
        </w:tc>
        <w:tc>
          <w:tcPr>
            <w:tcW w:w="373"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8" w:hRule="atLeast"/>
          <w:jc w:val="center"/>
        </w:trPr>
        <w:tc>
          <w:tcPr>
            <w:tcW w:w="2220" w:type="pct"/>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327"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商业企业</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科研机构</w:t>
            </w:r>
          </w:p>
        </w:tc>
        <w:tc>
          <w:tcPr>
            <w:tcW w:w="527"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社会公益组织</w:t>
            </w:r>
          </w:p>
        </w:tc>
        <w:tc>
          <w:tcPr>
            <w:tcW w:w="441"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法律服务机构</w:t>
            </w:r>
          </w:p>
        </w:tc>
        <w:tc>
          <w:tcPr>
            <w:tcW w:w="386"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其他</w:t>
            </w:r>
          </w:p>
        </w:tc>
        <w:tc>
          <w:tcPr>
            <w:tcW w:w="373"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2220" w:type="pct"/>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一、本年新收政府信息公开申请数量</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kern w:val="0"/>
                <w:szCs w:val="21"/>
                <w:lang w:val="en-US" w:eastAsia="zh-CN"/>
              </w:rPr>
              <w:t>3</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hint="eastAsia" w:ascii="Times New Roman" w:hAnsi="Times New Roman" w:eastAsia="宋体" w:cs="Times New Roman"/>
                <w:kern w:val="0"/>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2220" w:type="pct"/>
            <w:gridSpan w:val="3"/>
            <w:tcBorders>
              <w:top w:val="nil"/>
              <w:left w:val="single" w:color="auto" w:sz="8" w:space="0"/>
              <w:bottom w:val="single" w:color="auto" w:sz="4"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二、上年结转政府信息公开申请数量</w:t>
            </w:r>
          </w:p>
        </w:tc>
        <w:tc>
          <w:tcPr>
            <w:tcW w:w="327" w:type="pct"/>
            <w:tcBorders>
              <w:top w:val="nil"/>
              <w:left w:val="nil"/>
              <w:bottom w:val="single" w:color="auto" w:sz="4" w:space="0"/>
              <w:right w:val="single" w:color="auto" w:sz="8" w:space="0"/>
            </w:tcBorders>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p>
        </w:tc>
        <w:tc>
          <w:tcPr>
            <w:tcW w:w="390" w:type="pct"/>
            <w:tcBorders>
              <w:top w:val="nil"/>
              <w:left w:val="nil"/>
              <w:bottom w:val="single" w:color="auto" w:sz="4"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32" w:type="pct"/>
            <w:tcBorders>
              <w:top w:val="nil"/>
              <w:left w:val="nil"/>
              <w:bottom w:val="single" w:color="auto" w:sz="4"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527" w:type="pct"/>
            <w:tcBorders>
              <w:top w:val="nil"/>
              <w:left w:val="nil"/>
              <w:bottom w:val="single" w:color="auto" w:sz="4"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441" w:type="pct"/>
            <w:tcBorders>
              <w:top w:val="nil"/>
              <w:left w:val="nil"/>
              <w:bottom w:val="single" w:color="auto" w:sz="4"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86" w:type="pct"/>
            <w:tcBorders>
              <w:top w:val="nil"/>
              <w:left w:val="nil"/>
              <w:bottom w:val="single" w:color="auto" w:sz="4"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73" w:type="pct"/>
            <w:tcBorders>
              <w:top w:val="nil"/>
              <w:left w:val="nil"/>
              <w:bottom w:val="single" w:color="auto" w:sz="4"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hint="eastAsia" w:ascii="Times New Roman" w:hAnsi="Times New Roman" w:eastAsia="宋体" w:cs="Times New Roman"/>
                <w:kern w:val="0"/>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三、本年度办理结果</w:t>
            </w:r>
          </w:p>
        </w:tc>
        <w:tc>
          <w:tcPr>
            <w:tcW w:w="1846" w:type="pct"/>
            <w:gridSpan w:val="2"/>
            <w:tcBorders>
              <w:top w:val="single" w:color="auto" w:sz="4" w:space="0"/>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（一）予以公开</w:t>
            </w:r>
          </w:p>
        </w:tc>
        <w:tc>
          <w:tcPr>
            <w:tcW w:w="327" w:type="pct"/>
            <w:tcBorders>
              <w:top w:val="single" w:color="auto" w:sz="4"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single" w:color="auto" w:sz="4"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single" w:color="auto" w:sz="4"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single" w:color="auto" w:sz="4"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single" w:color="auto" w:sz="4"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single" w:color="auto" w:sz="4"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single" w:color="auto" w:sz="4"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846" w:type="pct"/>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（二）部分公开（区分处理的，只计这一情形，不计其他情形）</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kern w:val="0"/>
                <w:szCs w:val="21"/>
              </w:rPr>
            </w:pPr>
            <w:r>
              <w:rPr>
                <w:rFonts w:ascii="Times New Roman" w:hAnsi="Times New Roman" w:eastAsia="宋体" w:cs="Times New Roman"/>
                <w:kern w:val="0"/>
                <w:szCs w:val="21"/>
              </w:rPr>
              <w:t>（三）不予</w:t>
            </w:r>
          </w:p>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公开</w:t>
            </w: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1.属于国家秘密</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2.其他法律行政法规禁止公开</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3.危及“三安全一稳定”</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4.保护第三方合法权益</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5.属于三类内部事务信息</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6.属于四类过程性信息</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7.属于行政执法案卷</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8.属于行政查询事项</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kern w:val="0"/>
                <w:szCs w:val="21"/>
              </w:rPr>
            </w:pPr>
            <w:r>
              <w:rPr>
                <w:rFonts w:ascii="Times New Roman" w:hAnsi="Times New Roman" w:eastAsia="宋体" w:cs="Times New Roman"/>
                <w:kern w:val="0"/>
                <w:szCs w:val="21"/>
              </w:rPr>
              <w:t>（四）无法</w:t>
            </w:r>
          </w:p>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提供</w:t>
            </w: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1.本机关不掌握相关政府信息</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hint="eastAsia" w:ascii="Times New Roman" w:hAnsi="Times New Roman" w:eastAsia="宋体" w:cs="Times New Roman"/>
                <w:kern w:val="0"/>
                <w:szCs w:val="21"/>
                <w:lang w:val="en-US" w:eastAsia="zh-CN"/>
              </w:rPr>
              <w:t>3</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kern w:val="0"/>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2.没有现成信息需要另行制作</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3.补正后申请内容仍不明确</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kern w:val="0"/>
                <w:szCs w:val="21"/>
              </w:rPr>
            </w:pPr>
            <w:r>
              <w:rPr>
                <w:rFonts w:ascii="Times New Roman" w:hAnsi="Times New Roman" w:eastAsia="宋体" w:cs="Times New Roman"/>
                <w:kern w:val="0"/>
                <w:szCs w:val="21"/>
              </w:rPr>
              <w:t>（五）不予</w:t>
            </w:r>
          </w:p>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处理</w:t>
            </w: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1.信访举报投诉类申请</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2.重复申请</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3.要求提供公开出版物</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4.无正当理由大量反复申请</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496" w:type="pct"/>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350" w:type="pct"/>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5.要求行政机关确认或重新出具已获取信息</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846" w:type="pct"/>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（六）其他处理</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r>
              <w:rPr>
                <w:rFonts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3"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Cs w:val="21"/>
              </w:rPr>
            </w:pPr>
          </w:p>
        </w:tc>
        <w:tc>
          <w:tcPr>
            <w:tcW w:w="1846" w:type="pct"/>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（七）总计</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73"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220" w:type="pct"/>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rFonts w:ascii="Times New Roman" w:hAnsi="Times New Roman" w:eastAsia="宋体" w:cs="Times New Roman"/>
                <w:szCs w:val="21"/>
              </w:rPr>
            </w:pPr>
            <w:r>
              <w:rPr>
                <w:rFonts w:ascii="Times New Roman" w:hAnsi="Times New Roman" w:eastAsia="宋体" w:cs="Times New Roman"/>
                <w:kern w:val="0"/>
                <w:szCs w:val="21"/>
              </w:rPr>
              <w:t>四、结转下年度继续办理</w:t>
            </w:r>
          </w:p>
        </w:tc>
        <w:tc>
          <w:tcPr>
            <w:tcW w:w="3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eastAsia" w:ascii="Times New Roman" w:hAnsi="Times New Roman" w:eastAsia="宋体" w:cs="Times New Roman"/>
                <w:szCs w:val="21"/>
                <w:lang w:val="en-US" w:eastAsia="zh-CN"/>
              </w:rPr>
            </w:pPr>
          </w:p>
        </w:tc>
        <w:tc>
          <w:tcPr>
            <w:tcW w:w="390"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32"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527"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441"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86" w:type="pc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cs="Times New Roman"/>
                <w:szCs w:val="21"/>
              </w:rPr>
            </w:pPr>
          </w:p>
        </w:tc>
        <w:tc>
          <w:tcPr>
            <w:tcW w:w="373" w:type="pct"/>
            <w:tcBorders>
              <w:top w:val="nil"/>
              <w:left w:val="nil"/>
              <w:bottom w:val="single" w:color="auto" w:sz="8" w:space="0"/>
              <w:right w:val="single" w:color="auto" w:sz="8" w:space="0"/>
            </w:tcBorders>
            <w:tcMar>
              <w:left w:w="108" w:type="dxa"/>
              <w:right w:w="108" w:type="dxa"/>
            </w:tcMar>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w:t>
            </w:r>
          </w:p>
        </w:tc>
      </w:tr>
    </w:tbl>
    <w:p>
      <w:pPr>
        <w:pStyle w:val="2"/>
        <w:spacing w:before="0" w:beforeAutospacing="0" w:after="0" w:afterAutospacing="0" w:line="600" w:lineRule="exact"/>
        <w:ind w:firstLine="640" w:firstLineChars="200"/>
        <w:jc w:val="both"/>
        <w:rPr>
          <w:rFonts w:ascii="黑体" w:hAnsi="黑体" w:eastAsia="黑体"/>
          <w:color w:val="333333"/>
          <w:sz w:val="32"/>
          <w:szCs w:val="32"/>
        </w:rPr>
      </w:pPr>
      <w:r>
        <w:rPr>
          <w:rFonts w:ascii="黑体" w:hAnsi="黑体" w:eastAsia="黑体"/>
          <w:color w:val="333333"/>
          <w:sz w:val="32"/>
          <w:szCs w:val="32"/>
        </w:rPr>
        <w:t>四、政府信息公开行政复议、行政诉讼情况</w:t>
      </w:r>
    </w:p>
    <w:p>
      <w:pPr>
        <w:pStyle w:val="2"/>
        <w:spacing w:before="0" w:beforeAutospacing="0" w:after="0" w:afterAutospacing="0" w:line="600" w:lineRule="exact"/>
        <w:ind w:firstLine="480" w:firstLineChars="200"/>
        <w:jc w:val="both"/>
        <w:rPr>
          <w:rFonts w:ascii="Times New Roman" w:hAnsi="Times New Roman"/>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cs="Times New Roman"/>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cs="Times New Roman"/>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cs="Times New Roman"/>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color w:val="000000"/>
                <w:kern w:val="0"/>
                <w:sz w:val="20"/>
                <w:szCs w:val="20"/>
              </w:rPr>
              <w:t>总计</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cs="Times New Roman"/>
              </w:rPr>
            </w:pPr>
          </w:p>
        </w:tc>
        <w:tc>
          <w:tcPr>
            <w:tcW w:w="606"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0</w:t>
            </w:r>
          </w:p>
        </w:tc>
      </w:tr>
    </w:tbl>
    <w:p>
      <w:pPr>
        <w:pStyle w:val="2"/>
        <w:spacing w:before="0" w:beforeAutospacing="0" w:after="0" w:afterAutospacing="0" w:line="600" w:lineRule="exact"/>
        <w:ind w:firstLine="640" w:firstLineChars="200"/>
        <w:jc w:val="both"/>
        <w:rPr>
          <w:rFonts w:ascii="黑体" w:hAnsi="黑体" w:eastAsia="黑体"/>
          <w:color w:val="333333"/>
          <w:sz w:val="32"/>
          <w:szCs w:val="32"/>
        </w:rPr>
      </w:pPr>
      <w:r>
        <w:rPr>
          <w:rFonts w:ascii="黑体" w:hAnsi="黑体" w:eastAsia="黑体"/>
          <w:color w:val="333333"/>
          <w:sz w:val="32"/>
          <w:szCs w:val="32"/>
        </w:rPr>
        <w:t>五、存在的主要问题及改进情况</w:t>
      </w:r>
    </w:p>
    <w:p>
      <w:pPr>
        <w:pStyle w:val="2"/>
        <w:spacing w:before="0" w:beforeAutospacing="0" w:after="0" w:afterAutospacing="0" w:line="600" w:lineRule="exact"/>
        <w:ind w:firstLine="640" w:firstLineChars="200"/>
        <w:jc w:val="both"/>
        <w:rPr>
          <w:rFonts w:hint="eastAsia" w:ascii="Times New Roman" w:hAnsi="Times New Roman" w:eastAsia="仿宋_GB2312"/>
          <w:color w:val="333333"/>
          <w:sz w:val="32"/>
          <w:szCs w:val="32"/>
          <w:lang w:eastAsia="zh-CN"/>
        </w:rPr>
      </w:pP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lang w:eastAsia="zh-CN"/>
        </w:rPr>
        <w:t>一</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lang w:eastAsia="zh-CN"/>
        </w:rPr>
        <w:t>主要问题。一是对住房城乡建设领域有关政策认识不足，研究不深不透，导致政策解读上深度不够。二是从事信息公开的业务人员能力存在欠缺，缺乏必要的学习培训，对政府信息公开目录掌握不全面，部分应主动公开的信息没有及时公开。</w:t>
      </w:r>
    </w:p>
    <w:p>
      <w:pPr>
        <w:pStyle w:val="2"/>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olor w:val="333333"/>
          <w:sz w:val="32"/>
          <w:szCs w:val="32"/>
          <w:lang w:eastAsia="zh-CN"/>
        </w:rPr>
        <w:t>（二）改进措施。下一步，一是加强对上级有关政策的学习，确保领会政策精神实质，并结合我市住房城乡建设实际情况，形成符合我市实际的工作思路，对政策解读提供有效依据。二是加强对信息公开业务工作人员的教育培训，集中学习有关政府信息公开的法律法规，对本机关依法应主动公开的事项进行梳理，建档立册，确保应公开、尽公开，进一步提升政府信息公开工作水平。</w:t>
      </w:r>
    </w:p>
    <w:p>
      <w:pPr>
        <w:pStyle w:val="2"/>
        <w:spacing w:before="0" w:beforeAutospacing="0" w:after="0" w:afterAutospacing="0" w:line="600" w:lineRule="exact"/>
        <w:ind w:firstLine="640" w:firstLineChars="200"/>
        <w:jc w:val="both"/>
        <w:rPr>
          <w:rFonts w:ascii="黑体" w:hAnsi="黑体" w:eastAsia="黑体"/>
          <w:color w:val="333333"/>
          <w:sz w:val="32"/>
          <w:szCs w:val="32"/>
        </w:rPr>
      </w:pPr>
      <w:r>
        <w:rPr>
          <w:rFonts w:ascii="黑体" w:hAnsi="黑体" w:eastAsia="黑体"/>
          <w:color w:val="333333"/>
          <w:sz w:val="32"/>
          <w:szCs w:val="32"/>
        </w:rPr>
        <w:t>六、其他需要报告的事项</w:t>
      </w:r>
    </w:p>
    <w:p>
      <w:pPr>
        <w:spacing w:line="60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olor w:val="333333"/>
          <w:sz w:val="32"/>
          <w:szCs w:val="32"/>
          <w:lang w:eastAsia="zh-CN"/>
        </w:rPr>
        <w:t>无</w:t>
      </w:r>
      <w:r>
        <w:rPr>
          <w:rFonts w:ascii="Times New Roman" w:hAnsi="Times New Roman" w:eastAsia="仿宋_GB2312" w:cs="Times New Roman"/>
          <w:color w:val="333333"/>
          <w:sz w:val="32"/>
          <w:szCs w:val="32"/>
        </w:rPr>
        <w:t>。</w:t>
      </w:r>
    </w:p>
    <w:p>
      <w:pPr>
        <w:spacing w:line="600" w:lineRule="exact"/>
        <w:rPr>
          <w:rFonts w:ascii="Times New Roman" w:hAnsi="Times New Roman" w:eastAsia="仿宋_GB2312" w:cs="Times New Roman"/>
          <w:color w:val="333333"/>
          <w:sz w:val="32"/>
          <w:szCs w:val="32"/>
        </w:rPr>
      </w:pPr>
    </w:p>
    <w:p>
      <w:pPr>
        <w:wordWrap w:val="0"/>
        <w:spacing w:line="600" w:lineRule="exact"/>
        <w:jc w:val="right"/>
        <w:rPr>
          <w:rFonts w:hint="default" w:ascii="Times New Roman" w:hAnsi="Times New Roman" w:eastAsia="仿宋_GB2312" w:cs="Times New Roman"/>
          <w:color w:val="333333"/>
          <w:sz w:val="32"/>
          <w:szCs w:val="32"/>
          <w:lang w:val="en-US" w:eastAsia="zh-CN"/>
        </w:rPr>
      </w:pPr>
      <w:r>
        <w:rPr>
          <w:rFonts w:hint="eastAsia" w:ascii="Times New Roman" w:hAnsi="Times New Roman" w:eastAsia="仿宋_GB2312" w:cs="Times New Roman"/>
          <w:color w:val="333333"/>
          <w:sz w:val="32"/>
          <w:szCs w:val="32"/>
          <w:lang w:eastAsia="zh-CN"/>
        </w:rPr>
        <w:t>肥城市住房和城乡建设局</w:t>
      </w:r>
      <w:r>
        <w:rPr>
          <w:rFonts w:hint="eastAsia" w:ascii="Times New Roman" w:hAnsi="Times New Roman" w:eastAsia="仿宋_GB2312" w:cs="Times New Roman"/>
          <w:color w:val="333333"/>
          <w:sz w:val="32"/>
          <w:szCs w:val="32"/>
          <w:lang w:val="en-US" w:eastAsia="zh-CN"/>
        </w:rPr>
        <w:t xml:space="preserve">    </w:t>
      </w:r>
    </w:p>
    <w:p>
      <w:pPr>
        <w:wordWrap w:val="0"/>
        <w:spacing w:line="600" w:lineRule="exact"/>
        <w:jc w:val="right"/>
        <w:rPr>
          <w:rFonts w:hint="default" w:ascii="Times New Roman" w:hAnsi="Times New Roman" w:eastAsia="仿宋_GB2312" w:cs="Times New Roman"/>
          <w:color w:val="333333"/>
          <w:sz w:val="32"/>
          <w:szCs w:val="32"/>
          <w:lang w:val="en-US" w:eastAsia="zh-CN"/>
        </w:rPr>
      </w:pPr>
      <w:r>
        <w:rPr>
          <w:rFonts w:hint="eastAsia" w:ascii="Times New Roman" w:hAnsi="Times New Roman" w:eastAsia="仿宋_GB2312" w:cs="Times New Roman"/>
          <w:color w:val="333333"/>
          <w:sz w:val="32"/>
          <w:szCs w:val="32"/>
          <w:lang w:val="en-US" w:eastAsia="zh-CN"/>
        </w:rPr>
        <w:t xml:space="preserve">2021年1月26日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561C"/>
    <w:rsid w:val="001B3F96"/>
    <w:rsid w:val="00267F6D"/>
    <w:rsid w:val="00D45756"/>
    <w:rsid w:val="00E7561C"/>
    <w:rsid w:val="00F620B8"/>
    <w:rsid w:val="115D072E"/>
    <w:rsid w:val="119401D7"/>
    <w:rsid w:val="149F2933"/>
    <w:rsid w:val="16EC5466"/>
    <w:rsid w:val="20565D5F"/>
    <w:rsid w:val="206C5A18"/>
    <w:rsid w:val="21E1225D"/>
    <w:rsid w:val="22851EB0"/>
    <w:rsid w:val="27E11488"/>
    <w:rsid w:val="296F2703"/>
    <w:rsid w:val="29D26ED5"/>
    <w:rsid w:val="2F626397"/>
    <w:rsid w:val="32BC698F"/>
    <w:rsid w:val="38A1569F"/>
    <w:rsid w:val="416831EE"/>
    <w:rsid w:val="41966FB5"/>
    <w:rsid w:val="4E7815A5"/>
    <w:rsid w:val="510D5F4D"/>
    <w:rsid w:val="565966D0"/>
    <w:rsid w:val="565E6FBB"/>
    <w:rsid w:val="579035CE"/>
    <w:rsid w:val="58777B53"/>
    <w:rsid w:val="58B05510"/>
    <w:rsid w:val="5C1D5D79"/>
    <w:rsid w:val="5CE81113"/>
    <w:rsid w:val="627E46A9"/>
    <w:rsid w:val="64B61915"/>
    <w:rsid w:val="662E1788"/>
    <w:rsid w:val="66E13306"/>
    <w:rsid w:val="6D2D0CE0"/>
    <w:rsid w:val="7788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403</Words>
  <Characters>2299</Characters>
  <Lines>19</Lines>
  <Paragraphs>5</Paragraphs>
  <TotalTime>34</TotalTime>
  <ScaleCrop>false</ScaleCrop>
  <LinksUpToDate>false</LinksUpToDate>
  <CharactersWithSpaces>2697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2021-01-19T06:53:00Z</dcterms:created>
  <dc:creator>Administrator</dc:creator>
  <cp:lastModifiedBy>Administrator</cp:lastModifiedBy>
  <dcterms:modified xsi:type="dcterms:W3CDTF">2021-09-01T09:15:25Z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78E7F60958544012893A8B7FFF30BEC2</vt:lpwstr>
  </property>
</Properties>
</file>