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0675E2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/>
          <w:noProof/>
          <w:sz w:val="52"/>
          <w:szCs w:val="52"/>
        </w:rPr>
        <w:drawing>
          <wp:inline distT="0" distB="0" distL="0" distR="0">
            <wp:extent cx="1704975" cy="1819275"/>
            <wp:effectExtent l="0" t="0" r="9525" b="9525"/>
            <wp:docPr id="1" name="图片 1" descr="200712251282019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07122512820192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0675E2">
      <w:pPr>
        <w:jc w:val="center"/>
        <w:rPr>
          <w:rFonts w:asciiTheme="majorEastAsia" w:eastAsiaTheme="majorEastAsia" w:hAnsiTheme="majorEastAsia" w:cstheme="majorEastAsia"/>
          <w:w w:val="98"/>
          <w:sz w:val="84"/>
          <w:szCs w:val="84"/>
        </w:rPr>
      </w:pPr>
      <w:r>
        <w:rPr>
          <w:rFonts w:asciiTheme="majorEastAsia" w:eastAsiaTheme="majorEastAsia" w:hAnsiTheme="majorEastAsia" w:cstheme="majorEastAsia" w:hint="eastAsia"/>
          <w:w w:val="98"/>
          <w:sz w:val="84"/>
          <w:szCs w:val="84"/>
        </w:rPr>
        <w:t>肥城市人民政府公报</w:t>
      </w: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C31E7B">
      <w:pPr>
        <w:spacing w:line="406" w:lineRule="exact"/>
        <w:jc w:val="center"/>
        <w:rPr>
          <w:rFonts w:ascii="方正小标宋简体" w:eastAsia="方正小标宋简体"/>
          <w:sz w:val="52"/>
          <w:szCs w:val="52"/>
        </w:rPr>
      </w:pPr>
    </w:p>
    <w:p w:rsidR="00C31E7B" w:rsidRDefault="000675E2">
      <w:pPr>
        <w:jc w:val="center"/>
        <w:rPr>
          <w:rFonts w:asciiTheme="majorEastAsia" w:eastAsiaTheme="majorEastAsia" w:hAnsiTheme="majorEastAsia" w:cstheme="majorEastAsia"/>
          <w:spacing w:val="40"/>
          <w:sz w:val="72"/>
          <w:szCs w:val="72"/>
        </w:rPr>
      </w:pPr>
      <w:r>
        <w:rPr>
          <w:rFonts w:asciiTheme="majorEastAsia" w:eastAsiaTheme="majorEastAsia" w:hAnsiTheme="majorEastAsia" w:cstheme="majorEastAsia" w:hint="eastAsia"/>
          <w:spacing w:val="40"/>
          <w:sz w:val="72"/>
          <w:szCs w:val="72"/>
        </w:rPr>
        <w:t>202</w:t>
      </w:r>
      <w:r w:rsidR="000A5C68">
        <w:rPr>
          <w:rFonts w:asciiTheme="majorEastAsia" w:eastAsiaTheme="majorEastAsia" w:hAnsiTheme="majorEastAsia" w:cstheme="majorEastAsia" w:hint="eastAsia"/>
          <w:spacing w:val="40"/>
          <w:sz w:val="72"/>
          <w:szCs w:val="72"/>
        </w:rPr>
        <w:t>1</w:t>
      </w:r>
    </w:p>
    <w:p w:rsidR="00FE40B4" w:rsidRDefault="000675E2" w:rsidP="00FE40B4">
      <w:pPr>
        <w:jc w:val="center"/>
        <w:rPr>
          <w:rFonts w:ascii="宋体" w:eastAsia="宋体" w:hAnsi="宋体" w:cs="宋体" w:hint="eastAsia"/>
          <w:b/>
          <w:spacing w:val="-10"/>
          <w:sz w:val="44"/>
          <w:szCs w:val="44"/>
        </w:rPr>
      </w:pPr>
      <w:r>
        <w:rPr>
          <w:rFonts w:ascii="宋体" w:eastAsia="宋体" w:hAnsi="宋体" w:cs="宋体" w:hint="eastAsia"/>
          <w:b/>
          <w:spacing w:val="-10"/>
          <w:sz w:val="44"/>
          <w:szCs w:val="44"/>
        </w:rPr>
        <w:t>第</w:t>
      </w:r>
      <w:r w:rsidR="000A5C68">
        <w:rPr>
          <w:rFonts w:ascii="宋体" w:eastAsia="宋体" w:hAnsi="宋体" w:cs="宋体" w:hint="eastAsia"/>
          <w:b/>
          <w:spacing w:val="-10"/>
          <w:sz w:val="44"/>
          <w:szCs w:val="44"/>
        </w:rPr>
        <w:t>1</w:t>
      </w:r>
      <w:r>
        <w:rPr>
          <w:rFonts w:ascii="宋体" w:eastAsia="宋体" w:hAnsi="宋体" w:cs="宋体" w:hint="eastAsia"/>
          <w:b/>
          <w:spacing w:val="-10"/>
          <w:sz w:val="44"/>
          <w:szCs w:val="44"/>
        </w:rPr>
        <w:t>期（总第1</w:t>
      </w:r>
      <w:r w:rsidR="000A5C68">
        <w:rPr>
          <w:rFonts w:ascii="宋体" w:eastAsia="宋体" w:hAnsi="宋体" w:cs="宋体" w:hint="eastAsia"/>
          <w:b/>
          <w:spacing w:val="-10"/>
          <w:sz w:val="44"/>
          <w:szCs w:val="44"/>
        </w:rPr>
        <w:t>2</w:t>
      </w:r>
      <w:r>
        <w:rPr>
          <w:rFonts w:ascii="宋体" w:eastAsia="宋体" w:hAnsi="宋体" w:cs="宋体" w:hint="eastAsia"/>
          <w:b/>
          <w:spacing w:val="-10"/>
          <w:sz w:val="44"/>
          <w:szCs w:val="44"/>
        </w:rPr>
        <w:t>期）</w:t>
      </w:r>
    </w:p>
    <w:p w:rsidR="00FE40B4" w:rsidRDefault="00FE40B4" w:rsidP="00FE40B4">
      <w:pPr>
        <w:jc w:val="center"/>
        <w:rPr>
          <w:rFonts w:ascii="宋体" w:eastAsia="宋体" w:hAnsi="宋体" w:cs="宋体" w:hint="eastAsia"/>
          <w:b/>
          <w:spacing w:val="-10"/>
          <w:sz w:val="44"/>
          <w:szCs w:val="44"/>
        </w:rPr>
      </w:pPr>
    </w:p>
    <w:p w:rsidR="00FE40B4" w:rsidRDefault="00FE40B4" w:rsidP="00FE40B4">
      <w:pPr>
        <w:jc w:val="center"/>
        <w:rPr>
          <w:rFonts w:ascii="宋体" w:eastAsia="宋体" w:hAnsi="宋体" w:cs="宋体" w:hint="eastAsia"/>
          <w:b/>
          <w:spacing w:val="-10"/>
          <w:sz w:val="44"/>
          <w:szCs w:val="44"/>
        </w:rPr>
      </w:pPr>
    </w:p>
    <w:p w:rsidR="00FE40B4" w:rsidRDefault="00FE40B4" w:rsidP="00FE40B4">
      <w:pPr>
        <w:jc w:val="center"/>
        <w:rPr>
          <w:rFonts w:ascii="宋体" w:eastAsia="宋体" w:hAnsi="宋体" w:cs="宋体" w:hint="eastAsia"/>
          <w:b/>
          <w:spacing w:val="-10"/>
          <w:sz w:val="44"/>
          <w:szCs w:val="44"/>
        </w:rPr>
      </w:pPr>
    </w:p>
    <w:p w:rsidR="00C31E7B" w:rsidRDefault="000675E2" w:rsidP="00FE40B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目  录</w:t>
      </w:r>
    </w:p>
    <w:p w:rsidR="00C31E7B" w:rsidRDefault="000675E2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一、政府文件</w:t>
      </w:r>
    </w:p>
    <w:p w:rsidR="00C31E7B" w:rsidRDefault="000675E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096879" w:rsidRPr="00096879">
        <w:rPr>
          <w:rFonts w:ascii="微软雅黑" w:eastAsia="微软雅黑" w:hAnsi="微软雅黑" w:hint="eastAsia"/>
          <w:b/>
          <w:bCs/>
          <w:color w:val="000000"/>
          <w:sz w:val="35"/>
          <w:szCs w:val="35"/>
        </w:rPr>
        <w:t xml:space="preserve"> </w:t>
      </w:r>
      <w:r w:rsidR="00695D9B" w:rsidRPr="00B65AB5">
        <w:rPr>
          <w:rFonts w:ascii="仿宋_GB2312" w:eastAsia="仿宋_GB2312" w:hint="eastAsia"/>
          <w:sz w:val="32"/>
          <w:szCs w:val="32"/>
        </w:rPr>
        <w:t>肥城市人民政府关于2020年度法治政府建设情况的报告</w:t>
      </w:r>
    </w:p>
    <w:p w:rsidR="00C31E7B" w:rsidRDefault="000675E2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5875AF">
        <w:rPr>
          <w:rFonts w:ascii="仿宋_GB2312" w:eastAsia="仿宋_GB2312" w:hint="eastAsia"/>
          <w:sz w:val="32"/>
          <w:szCs w:val="32"/>
        </w:rPr>
        <w:t>肥政字</w:t>
      </w:r>
      <w:r w:rsidR="005875AF" w:rsidRPr="00455CC8">
        <w:rPr>
          <w:rFonts w:ascii="仿宋_GB2312" w:eastAsia="仿宋_GB2312" w:hint="eastAsia"/>
          <w:sz w:val="32"/>
          <w:szCs w:val="32"/>
        </w:rPr>
        <w:t>〔2021〕</w:t>
      </w:r>
      <w:r w:rsidR="005875AF">
        <w:rPr>
          <w:rFonts w:ascii="仿宋_GB2312" w:eastAsia="仿宋_GB2312" w:hint="eastAsia"/>
          <w:sz w:val="32"/>
          <w:szCs w:val="32"/>
        </w:rPr>
        <w:t>3</w:t>
      </w:r>
      <w:r w:rsidR="005875AF" w:rsidRPr="00455CC8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 w:rsidR="00455CC8">
        <w:rPr>
          <w:rFonts w:ascii="仿宋_GB2312" w:eastAsia="仿宋_GB2312"/>
          <w:sz w:val="32"/>
          <w:szCs w:val="32"/>
        </w:rPr>
        <w:t>…</w:t>
      </w:r>
      <w:r>
        <w:rPr>
          <w:rFonts w:ascii="楷体_GB2312" w:eastAsia="楷体_GB2312"/>
          <w:sz w:val="32"/>
          <w:szCs w:val="32"/>
        </w:rPr>
        <w:t>……………………………………………</w:t>
      </w:r>
      <w:r>
        <w:rPr>
          <w:rFonts w:ascii="楷体_GB2312" w:eastAsia="楷体_GB2312" w:hint="eastAsia"/>
          <w:sz w:val="32"/>
          <w:szCs w:val="32"/>
        </w:rPr>
        <w:t>.（1）</w:t>
      </w:r>
    </w:p>
    <w:p w:rsidR="00D36324" w:rsidRDefault="00EA494A" w:rsidP="00D3632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EE4D22" w:rsidRPr="00EE4D22">
        <w:rPr>
          <w:rFonts w:ascii="仿宋_GB2312" w:eastAsia="仿宋_GB2312" w:hint="eastAsia"/>
          <w:sz w:val="32"/>
          <w:szCs w:val="32"/>
        </w:rPr>
        <w:t>．</w:t>
      </w:r>
      <w:r w:rsidR="00D36324" w:rsidRPr="000241F4">
        <w:rPr>
          <w:rFonts w:ascii="仿宋_GB2312" w:eastAsia="仿宋_GB2312" w:hint="eastAsia"/>
          <w:sz w:val="32"/>
          <w:szCs w:val="32"/>
        </w:rPr>
        <w:t>肥城市人民政府关于公布肥城市第二批重点文物保护单位的通知</w:t>
      </w:r>
    </w:p>
    <w:p w:rsidR="00EE4D22" w:rsidRDefault="00B65AB5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56AE8">
        <w:rPr>
          <w:rFonts w:ascii="仿宋_GB2312" w:eastAsia="仿宋_GB2312" w:hint="eastAsia"/>
          <w:sz w:val="32"/>
          <w:szCs w:val="32"/>
        </w:rPr>
        <w:t>肥政字</w:t>
      </w:r>
      <w:r w:rsidR="00656AE8" w:rsidRPr="00455CC8">
        <w:rPr>
          <w:rFonts w:ascii="仿宋_GB2312" w:eastAsia="仿宋_GB2312" w:hint="eastAsia"/>
          <w:sz w:val="32"/>
          <w:szCs w:val="32"/>
        </w:rPr>
        <w:t>〔2021〕</w:t>
      </w:r>
      <w:r w:rsidR="00656AE8">
        <w:rPr>
          <w:rFonts w:ascii="仿宋_GB2312" w:eastAsia="仿宋_GB2312" w:hint="eastAsia"/>
          <w:sz w:val="32"/>
          <w:szCs w:val="32"/>
        </w:rPr>
        <w:t>6</w:t>
      </w:r>
      <w:r w:rsidR="00656AE8" w:rsidRPr="00455CC8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楷体_GB2312" w:eastAsia="楷体_GB2312"/>
          <w:sz w:val="32"/>
          <w:szCs w:val="32"/>
        </w:rPr>
        <w:t>……………………………………………</w:t>
      </w:r>
      <w:r>
        <w:rPr>
          <w:rFonts w:ascii="楷体_GB2312" w:eastAsia="楷体_GB2312" w:hint="eastAsia"/>
          <w:sz w:val="32"/>
          <w:szCs w:val="32"/>
        </w:rPr>
        <w:t>.（</w:t>
      </w:r>
      <w:r w:rsidR="008528CE">
        <w:rPr>
          <w:rFonts w:ascii="楷体_GB2312" w:eastAsia="楷体_GB2312" w:hint="eastAsia"/>
          <w:sz w:val="32"/>
          <w:szCs w:val="32"/>
        </w:rPr>
        <w:t>13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D36324" w:rsidRPr="00B65AB5" w:rsidRDefault="00EA494A" w:rsidP="00D3632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 w:rsidR="00EF740E" w:rsidRPr="00EF740E">
        <w:rPr>
          <w:rFonts w:ascii="仿宋_GB2312" w:eastAsia="仿宋_GB2312" w:hint="eastAsia"/>
          <w:sz w:val="32"/>
          <w:szCs w:val="32"/>
        </w:rPr>
        <w:t>.</w:t>
      </w:r>
      <w:r w:rsidR="00D36324" w:rsidRPr="00D36324">
        <w:rPr>
          <w:rFonts w:ascii="仿宋_GB2312" w:eastAsia="仿宋_GB2312" w:hint="eastAsia"/>
          <w:bCs/>
          <w:sz w:val="32"/>
          <w:szCs w:val="32"/>
        </w:rPr>
        <w:t xml:space="preserve"> </w:t>
      </w:r>
      <w:r w:rsidR="00D36324" w:rsidRPr="00455CC8">
        <w:rPr>
          <w:rFonts w:ascii="仿宋_GB2312" w:eastAsia="仿宋_GB2312" w:hint="eastAsia"/>
          <w:bCs/>
          <w:sz w:val="32"/>
          <w:szCs w:val="32"/>
        </w:rPr>
        <w:t>肥城市人民政府关于印发肥城市“双十”企业和功勋企业家评选办法的通知</w:t>
      </w:r>
      <w:r w:rsidR="00D36324" w:rsidRPr="00B65AB5">
        <w:rPr>
          <w:rFonts w:ascii="仿宋_GB2312" w:eastAsia="仿宋_GB2312" w:hint="eastAsia"/>
          <w:sz w:val="32"/>
          <w:szCs w:val="32"/>
        </w:rPr>
        <w:t xml:space="preserve"> </w:t>
      </w:r>
    </w:p>
    <w:p w:rsidR="000241F4" w:rsidRPr="000241F4" w:rsidRDefault="000241F4">
      <w:pPr>
        <w:rPr>
          <w:rFonts w:ascii="楷体_GB2312" w:eastAsia="楷体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656AE8" w:rsidRPr="00455CC8">
        <w:rPr>
          <w:rFonts w:ascii="仿宋_GB2312" w:eastAsia="仿宋_GB2312" w:hint="eastAsia"/>
          <w:sz w:val="32"/>
          <w:szCs w:val="32"/>
        </w:rPr>
        <w:t>肥政发〔2021〕1号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…</w:t>
      </w:r>
      <w:r>
        <w:rPr>
          <w:rFonts w:ascii="楷体_GB2312" w:eastAsia="楷体_GB2312"/>
          <w:sz w:val="32"/>
          <w:szCs w:val="32"/>
        </w:rPr>
        <w:t>……………………………………………</w:t>
      </w:r>
      <w:r>
        <w:rPr>
          <w:rFonts w:ascii="楷体_GB2312" w:eastAsia="楷体_GB2312" w:hint="eastAsia"/>
          <w:sz w:val="32"/>
          <w:szCs w:val="32"/>
        </w:rPr>
        <w:t>.（1</w:t>
      </w:r>
      <w:r w:rsidR="00D53E8D">
        <w:rPr>
          <w:rFonts w:ascii="楷体_GB2312" w:eastAsia="楷体_GB2312" w:hint="eastAsia"/>
          <w:sz w:val="32"/>
          <w:szCs w:val="32"/>
        </w:rPr>
        <w:t>8</w:t>
      </w:r>
      <w:r>
        <w:rPr>
          <w:rFonts w:ascii="楷体_GB2312" w:eastAsia="楷体_GB2312" w:hint="eastAsia"/>
          <w:sz w:val="32"/>
          <w:szCs w:val="32"/>
        </w:rPr>
        <w:t>）</w:t>
      </w: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895D7A" w:rsidRDefault="00895D7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</w:p>
    <w:p w:rsidR="00A92B9C" w:rsidRDefault="00A92B9C" w:rsidP="00A92B9C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肥城市人民政府办公室</w:t>
      </w:r>
    </w:p>
    <w:p w:rsidR="00A92B9C" w:rsidRDefault="00A92B9C" w:rsidP="00A92B9C">
      <w:pPr>
        <w:pStyle w:val="a5"/>
        <w:widowControl/>
        <w:spacing w:beforeAutospacing="0" w:afterAutospacing="0" w:line="450" w:lineRule="atLeast"/>
        <w:jc w:val="center"/>
        <w:rPr>
          <w:sz w:val="22"/>
          <w:szCs w:val="22"/>
        </w:rPr>
      </w:pPr>
      <w:r w:rsidRPr="002C0F81">
        <w:rPr>
          <w:rFonts w:ascii="宋体" w:eastAsia="宋体" w:hAnsi="宋体" w:cs="宋体" w:hint="eastAsia"/>
          <w:kern w:val="2"/>
          <w:sz w:val="44"/>
          <w:szCs w:val="44"/>
        </w:rPr>
        <w:t>关于2020年度法治政府建设情况的报告</w:t>
      </w:r>
    </w:p>
    <w:p w:rsidR="00A92B9C" w:rsidRDefault="00A92B9C" w:rsidP="00A92B9C">
      <w:pPr>
        <w:spacing w:line="520" w:lineRule="exact"/>
        <w:jc w:val="center"/>
        <w:rPr>
          <w:rFonts w:ascii="楷体_GB2312" w:eastAsia="楷体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sz w:val="32"/>
          <w:szCs w:val="32"/>
        </w:rPr>
        <w:t>肥政字〔2021〕3号</w:t>
      </w:r>
    </w:p>
    <w:p w:rsidR="00A92B9C" w:rsidRDefault="00A92B9C" w:rsidP="00A92B9C">
      <w:pPr>
        <w:pStyle w:val="a5"/>
        <w:widowControl/>
        <w:spacing w:beforeAutospacing="0" w:afterAutospacing="0" w:line="450" w:lineRule="atLeast"/>
        <w:rPr>
          <w:sz w:val="22"/>
          <w:szCs w:val="22"/>
        </w:rPr>
      </w:pPr>
    </w:p>
    <w:p w:rsidR="00A92B9C" w:rsidRPr="004C0CCD" w:rsidRDefault="00A92B9C" w:rsidP="00A92B9C">
      <w:pPr>
        <w:widowControl/>
        <w:shd w:val="clear" w:color="auto" w:fill="FFFFFF"/>
        <w:spacing w:line="416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市人大常委会：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2020年，市政府在市委坚强领导和市人大监督支持下，深入学习贯彻习近平法治思想，全面落实中央、省和泰安市关于法治政府建设的各项决策部署，着力加强党的领导，健全制度机制，强化工作措施，统筹抓好疫情防控和经济社会发展，推动法治政府建设再上新水平。肥城市荣获第一批“山东省法治政府建设示范县（市、区）”称号。现报告如下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一、加强党对法治政府建设的领导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1.强化法治建设组织领导。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坚持把法治政府建设作为全面依法治市主体工程，市委全面依法治市委员会设立执法、司法、守法普法和法治型干部队伍建设4个协调小组，将政府法治工作置于全面依法治市的大框架内谋划推进。市委常委会7次专题听取法治工作情况，市委法治委先后3次召开会议，各协调小组先后召开4次会议，部署推进法治政府建设示范创建、依法防控疫情、优化法治环境攻坚等重点任务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lastRenderedPageBreak/>
        <w:t>2.扛牢法治建设政治责任。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市政府认真贯彻《法治政府建设与责任落实督察工作规定》，把推进法治政府建设、提高政府治理体系和治理能力现代化水平作为增强“四个意识”、坚定“四个自信”、做到“两个维护”的具体行动，切实履行推进法治政府建设主体责任。市政府党组始终坚持以习近平法治思想为指导，不断加强对法治政府建设的领导，定期研究重大涉法事项，依法破解难点问题；每年《政府工作报告》都就法治政府工作作出具体安排；健全完善政府党组中心组集体学法制度，深入学习习近平法治思想和《宪法》《民法典》精神，增强依法行政的政治自觉和行动自觉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二、依法全面履行政府职能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1.强化制度保障，依法防控疫情。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疫情防控初期，及时收集整理有关法律规定，出台依法防控新冠肺炎疫情、保障人民群众生命健康安全的一系列工作方案、法律指引，向各行政执法部门推送相关法律知识；组织修订《肥城市突发公共卫生事件应急办法》，完善公共卫生制度保障体系。加强执法协调，在重点执法领域建立信息共享、案件协办、工作联动机制，针对防控物资、药品、医疗器械、冷链食品等实行常态化防控，全年围绕疫情防控开展各类行政检查8900余次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lastRenderedPageBreak/>
        <w:t>2.规范“三张清单”，转变政府职能。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以构建权责匹配、简明实用的清单体系为目标，依法规范部门权责清单、职责任务清单、职责边界清单。全市公布部门权责清单事项5036项；市政府27个工作部门分解内设机构职责1646项、分解工作任务1881项、编制工作流程图1428张、工作规范1403个、优化流程减少环节81项，精简手续40余项；编制政府部门职责边界清单事项116项、涉及31个部门。扎实开展各类变相审批清理整治，稳妥承接“市县同权”事项219项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3.优化政务服务，塑造营商品牌。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持续开展“减证便民”行动，积极推行证明事项告知承诺制，全市23个部门、561项证明事项全部编制办事指南。在优化服务上做“加法”，依申请政务服务事项网上可办率、全程网办率和一次办好率分别达到91%、90%和97%以上；在流程再造上做“减法”，先后减材料94项、减环节75个、减时限675个工作日。推行“店小二”式政务服务，323个政务服务事项实现集中审批办理，895项政务服务事项纳入省级网上平台运行；市、镇两级设立重点项目代办服务中心15个，企业登记注册30分钟可完成，打响“马上就办、马到成功”营商品牌。肥城市被评为“首届全国公共资源交易百强县”，荣获“全国政务服务改革创新奖”和“服务创新奖”两项大奖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lastRenderedPageBreak/>
        <w:t>4.突出高效服务，打造法治环境。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制定《肥城市持续深入优化营商环境的实施方案》，确定17项重点任务，成立6个推进组，明确10个牵头部门、35个责任单位，一抓到底。开展“企业发展·政法护航”专项行动，在建安总部集聚区设立政法服务先行区，打造零距离服务“绿色通道”；建立“法律服务代理”机制，成立律师、公证等专项法律服务团9个，为建安支柱产业、中小微企业发展等提供专项服务；健全完善“接诉即办”制度，有力保障企业各类诉求即时转接、分流落实；广泛开展“法律六进”活动，营造良好社会法治氛围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三、完善依法行政制度体系和依法科学民主决策机制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1.规范重大行政决策程序。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编制公布《2020年度重大行政决策事项目录》，细化完善工作机制，明确重大行政决策事项范围、合法性审查内容、报送材料要求，从议题申报开始严把程序关、材料关，建立完备的操作规范，未经合法性审查或经审查不合法的，不得提交会议集体讨论。2020年，审查重大行政决策事项12项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2.严管行政规范性文件。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严格执行规范性文件 “三统一制度”，做到有件必备、有备必审、有错必纠。2020年，向泰安市人民政府备案规范性文件2件，报备率、及时率、规范率100%。加强行政规范性文件动态管理。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2020年，确认继续有效的行政规范性文件4件，废止失效28件，修改28件，修改文件涉及16个领域、条款共计290余项；先后组织开展民法典、妨碍市场统一和公平竞争、野生动物保护等领域的规范性文件专项清理，未发现相抵触的规范性文件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3.提升合法性审查水平。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建立以政府法制机构和党政双聘法律顾问为主体的法治审查队伍，选聘政府法律顾问10名，建立40人法律专家库。围绕政府重大行政决策、重点项目建设、土地征补、重大矛盾纠纷、疑难案件、信访积案化解等，加强合法性审查，提出法律意见建议。2020年，累计审查政府合同协议58件/次，研究解决各类行政争议、重大疑难案件、信访案件87件/次，提供法律意见230余次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四、健全行政执法体制机制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1.聚焦多个重点，强化执法监督。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全面落实行政执法“三项制度”，2020年公示事前信息近200条，公示执法结果信息7万余条，培训法制审核人员106名。肥城市行政执法“三项制度”经验做法在全省会议上作交流推广。加强重点领域监督，2020年开展专项监督2次，评查案卷156卷，提出整改意见1143条。推进执法监督信息化，3186个行政处罚事项与“互联网+监管”系统事项逐一关联、互联互通；2020年，网上录入案件1673件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严格落实执法统计年报制度，45个执法部门在网站公示年度执法数据。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2.创新执法方式，服务中心大局。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着力规范涉企行政执法检查，出台涉企检查备案制度、制定执法检查计划、创新执法检查方式等6项举措。完善行刑衔接制度，加强部门联合执法，建立一体化“大打击”机制，有效提升执法效能。实施包容审慎监管，建立免罚清单机制，推行柔性执法制度，在重点部门领域推行差异化执法监管，严禁执法“一刀切”。2020年，编制实施“免罚清单”224项、“轻罚清单”16项，累计办理免罚、轻罚案件10件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3.严抓资格管理，提升执法水平。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加强行政执法资格管理，做好执法资格考试、人员培训、证件年审工作，对不在执法岗位及非在编人员一律清理。2020年，组织187名新办证及补考人员参加行政执法资格考试；组织238名执法人员参加公共法律知识培训；审核行政执法人员制证信息1525人。加强听证主持人、行政执法督察人员资格管理，2020年，全市88人新申领听证主持人证、5人办理督察证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五、强化对行政权力的制约监督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1.健全制约监督体系。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修订完善行政程序制度手册，确保行政机关按照法定权限和程序行使权力。加强政务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诚信建设，印发《肥城市加强政务诚信建设实施方案》，建立健全政务信用承诺制度、信用联合奖惩机制、政务诚信档案制度等，着力加强政府采购、招商引资等重点领域政务诚信建设。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2.自觉接受各类监督。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自觉接受党内监督，建立行政违法案件和失信人员通报移送制度，推动监督贯通、纪法衔接。自觉接受人大、政协监督，2020年接受人大专题询问1次，接受对专题报告的审议29次，制定规范性文件2件，均向人大备案；及时研究办理人大建议101件，办理政协提案161件。自觉接受司法监督，2020年司法建议、检察建议办复率为100%。自觉接受审计监督，2020年组织开展审计调查项目32个，提出审计建议36条。自觉接受社会监督，2020年受理12345热线、行风热线等渠道群众反映诉求48017件，按时办结率100%，群众满意率97.40%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3.持续推进政务公开。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健全政务公开制度机制，推进决策、执行、管理、服务、结果等各领域信息公开；优化政务公开门户网站，年内完成网站重建、数据迁移等工作。2020年，累计发布政府信息9000余条，38件依申请公开事项法定时限内全部规范答复，26个试点领域基层政务公开标准目录编制工作顺利开展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六、健全矛盾纠纷多元化解机制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lastRenderedPageBreak/>
        <w:t>1.完善制度机制，规范行政复议。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充分发挥行政复议委员会职能，调整公布行政复议委员会成员名单；先后建立非诉执行联动机制、涉企负责人出庭应诉制度、行政机关负责人出庭应诉备案制度。加强基层基础建设，市司法局高标准打造行政复议审理室1处，市公安局、综合行政执法局等6个重点执法部门建立“一体同办”制度，14个镇街区建立行政复议便民联系点，打通“复议申请最后一公里”。2020年，受理行政复议案件54件，办理行政诉讼案件59件，召开疑难案件研判会30余次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2.加强府院联动，提升应诉水平。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与市法院建立联席会议制度，定期通报、研究解决重大疑难问题，形成有效化解行政争议的联动机制。举办行政复议应诉人员网上培训、庭审观摩活动8次，累计培训400余人次，人均参训40学时。通过月调度、季通报，推动落实负责人出庭应诉制度，2020年，行政机关负责人出庭应诉率较2019年提升55.2%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3.强化衔接协调，促进多元化解。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2020年，全市行业性调解组织增加到14个，新增建安房地产、金融、物业等5个专业调解中心，5个行政执法部门建立行政调解委员会。选聘7名专职人民调解员派驻法院参与诉前调解，29个调解组织受聘为法院特邀调解组织。全年各级调解组织累计受理调处各类矛盾纠纷5146件，调解成功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率达到98.60%。采取“仲裁分会+促进会”的发展模式，成立肥城仲裁发展促进会。2020年，肥城分会受理推介案件20件，涉案标的总额达1.4亿元。积极做好审前和解、复议调解和解工作，2020年办理行政争议审前和解案件3件，通过调解、和解审结的复议案件达24.1%，实现“定纷止争，案结事了，群众满意”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七、提高政府工作人员法治思维和依法行政能力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1.培养法治思维，提升法治能力。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市委法治委出台《肥城市党政主要负责人履行推进法治建设第一责任人职责规定》，不断压实法治建设责任。各级党政主要负责人坚持带头学法用法，大力开展党委（党组）理论学习中心组学法、政府常务会集体学法、执法部门“法治明白人”培训、网上考法、庭审观摩、年终述法等活动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2.加强法治考核，树立法治导向。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将法治建设情况和行政诉讼败诉情况纳入全市经济社会考核指标。严格落实《肥城市行政诉讼败诉案件责任倒查实施办法》，与市法院建立败诉案件沟通交流机制，倒逼各级行政机关和工作人员自觉增强法治思维和依法行政能力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黑体" w:eastAsia="黑体" w:hAnsi="黑体" w:cs="宋体" w:hint="eastAsia"/>
          <w:color w:val="000000" w:themeColor="text1"/>
          <w:kern w:val="0"/>
          <w:sz w:val="34"/>
          <w:szCs w:val="34"/>
        </w:rPr>
        <w:t>八、健全组织保障和落实机制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1.突出顶层设计。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肥城市《“十三五”规划纲要》提出关于构建法治政府，营造良好法治环境的战略举措并顺利完成实施。市委常委会《2020年度工作要点》把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推进法治政府建设作为一项重要内容，与经济社会发展一体谋划、协同推进。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楷体_GB2312" w:eastAsia="楷体_GB2312" w:hAnsi="微软雅黑" w:cs="宋体" w:hint="eastAsia"/>
          <w:color w:val="000000" w:themeColor="text1"/>
          <w:kern w:val="0"/>
          <w:sz w:val="34"/>
          <w:szCs w:val="34"/>
        </w:rPr>
        <w:t>2.注重统筹协调。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政府常务会议专门听取法治政府建设情况汇报，研究部署政府法律顾问制度建设、行政机关负责人出庭应诉、重大行政决策程序落实、规范性文件清理等工作。出台《肥城市法治督察工作暂行办法》，围绕法治政府建设重点任务，强化统筹协调、督促落实，确保各项工作扎实推进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2020年，肥城市法治政府建设虽取得一定成绩，但对照中央、省、市工作要求，仍存在一些薄弱环节。比如，行政执法规范化水平仍需进一步提升，重大行政决策制度有待细化完善，基层社会治理能力和治理体系法治化创新不足，干部队伍法治思维能力还需持续强化等。对这些问题，今后将采取坚决有力措施，认真加以解决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2021年，肥城市将坚持以习近平法治思想为指导，全面落实党中央国务院、省委省政府及市委市政府各项决策部署，巩固提升法治政府示范创建成果，加快建设职能科学、权责法定、执法严明、公开公正、廉洁高效、守法诚信的法治政府。重点抓好六个方面工作：一是坚持依法全面履行政府职能，推进依法科学民主决策，细化落实重大行政决策程序规定，建立重大程序决策目录动态调整机制。二是深化政务服务领域改革，打造更具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lastRenderedPageBreak/>
        <w:t>创新创业活力，更加平等、透明、可预期的法治化营商环境。三是强化行政执法“三项制度”落实，加强行政执法监督和一线执法队伍素质能力培训，推进严格规范公正文明执法。四是坚持用数字化理念推进法治建设，加强数字化平台在规范性文件管理、行政执法监督等工作中的应用，提高法治政府建设的规范化、信息化水平。五是整合人民调解、行政调解、行政复议、行政裁决、仲裁等纠纷化解手段，形成非诉讼纠纷化解的更优机制、更大合力。六是提升干部队伍法治能力，深入开展政府机关工作人员学法活动，全方位营造办事依法、遇事找法、解决问题用法、化解矛盾靠法的法治环境。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 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 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righ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肥城市人民政府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 </w:t>
      </w: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 xml:space="preserve"> 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righ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 xml:space="preserve">2021年2月23日 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="688"/>
        <w:jc w:val="lef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 </w:t>
      </w:r>
    </w:p>
    <w:p w:rsidR="00A92B9C" w:rsidRPr="004C0CCD" w:rsidRDefault="00A92B9C" w:rsidP="00A92B9C">
      <w:pPr>
        <w:widowControl/>
        <w:shd w:val="clear" w:color="auto" w:fill="FFFFFF"/>
        <w:spacing w:line="416" w:lineRule="atLeast"/>
        <w:ind w:firstLineChars="100" w:firstLine="340"/>
        <w:jc w:val="right"/>
        <w:rPr>
          <w:rFonts w:ascii="微软雅黑" w:eastAsia="微软雅黑" w:hAnsi="微软雅黑" w:cs="宋体"/>
          <w:color w:val="000000" w:themeColor="text1"/>
          <w:kern w:val="0"/>
          <w:sz w:val="22"/>
          <w:szCs w:val="22"/>
        </w:rPr>
      </w:pPr>
      <w:r w:rsidRPr="004C0CCD">
        <w:rPr>
          <w:rFonts w:ascii="仿宋_GB2312" w:eastAsia="仿宋_GB2312" w:hAnsi="微软雅黑" w:cs="宋体" w:hint="eastAsia"/>
          <w:color w:val="000000" w:themeColor="text1"/>
          <w:kern w:val="0"/>
          <w:sz w:val="34"/>
          <w:szCs w:val="34"/>
        </w:rPr>
        <w:t>肥城市人民政府办公室2021年2月23日印发</w:t>
      </w: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1E5CDF" w:rsidRDefault="001E5CDF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</w:p>
    <w:p w:rsidR="009D129A" w:rsidRPr="00A80571" w:rsidRDefault="009D129A" w:rsidP="009D129A">
      <w:pPr>
        <w:pStyle w:val="a5"/>
        <w:spacing w:line="450" w:lineRule="atLeast"/>
        <w:jc w:val="center"/>
        <w:rPr>
          <w:rFonts w:ascii="宋体" w:eastAsia="宋体" w:hAnsi="宋体" w:cs="宋体"/>
          <w:sz w:val="44"/>
          <w:szCs w:val="44"/>
        </w:rPr>
      </w:pPr>
      <w:r w:rsidRPr="00A80571">
        <w:rPr>
          <w:rFonts w:ascii="宋体" w:eastAsia="宋体" w:hAnsi="宋体" w:cs="宋体" w:hint="eastAsia"/>
          <w:b/>
          <w:bCs/>
          <w:sz w:val="44"/>
          <w:szCs w:val="44"/>
        </w:rPr>
        <w:lastRenderedPageBreak/>
        <w:t>肥城市人民政府</w:t>
      </w:r>
    </w:p>
    <w:p w:rsidR="009D129A" w:rsidRPr="00A80571" w:rsidRDefault="009D129A" w:rsidP="009D129A">
      <w:pPr>
        <w:pStyle w:val="a5"/>
        <w:spacing w:line="450" w:lineRule="atLeast"/>
        <w:jc w:val="center"/>
        <w:rPr>
          <w:rFonts w:ascii="宋体" w:eastAsia="宋体" w:hAnsi="宋体" w:cs="宋体"/>
          <w:sz w:val="44"/>
          <w:szCs w:val="44"/>
        </w:rPr>
      </w:pPr>
      <w:r w:rsidRPr="00A80571">
        <w:rPr>
          <w:rFonts w:ascii="宋体" w:eastAsia="宋体" w:hAnsi="宋体" w:cs="宋体" w:hint="eastAsia"/>
          <w:b/>
          <w:bCs/>
          <w:sz w:val="44"/>
          <w:szCs w:val="44"/>
        </w:rPr>
        <w:t>关于公布肥城市第二批重点文物</w:t>
      </w:r>
    </w:p>
    <w:p w:rsidR="009D129A" w:rsidRPr="002E5AC9" w:rsidRDefault="009D129A" w:rsidP="009D129A">
      <w:pPr>
        <w:pStyle w:val="a5"/>
        <w:spacing w:line="450" w:lineRule="atLeast"/>
        <w:jc w:val="center"/>
        <w:rPr>
          <w:rFonts w:ascii="宋体" w:eastAsia="宋体" w:hAnsi="宋体" w:cs="宋体"/>
          <w:sz w:val="44"/>
          <w:szCs w:val="44"/>
        </w:rPr>
      </w:pPr>
      <w:r w:rsidRPr="00A80571">
        <w:rPr>
          <w:rFonts w:ascii="宋体" w:eastAsia="宋体" w:hAnsi="宋体" w:cs="宋体" w:hint="eastAsia"/>
          <w:b/>
          <w:bCs/>
          <w:sz w:val="44"/>
          <w:szCs w:val="44"/>
        </w:rPr>
        <w:t>保护单位的通知</w:t>
      </w:r>
    </w:p>
    <w:p w:rsidR="009D129A" w:rsidRPr="003669A9" w:rsidRDefault="009D129A" w:rsidP="009D129A">
      <w:pPr>
        <w:spacing w:line="520" w:lineRule="exact"/>
        <w:jc w:val="center"/>
        <w:rPr>
          <w:rFonts w:ascii="楷体_GB2312" w:eastAsia="楷体_GB2312" w:hAnsiTheme="minorEastAsia"/>
          <w:color w:val="000000" w:themeColor="text1"/>
          <w:sz w:val="32"/>
          <w:szCs w:val="32"/>
        </w:rPr>
      </w:pPr>
      <w:r w:rsidRPr="003669A9">
        <w:rPr>
          <w:rFonts w:ascii="楷体_GB2312" w:eastAsia="楷体_GB2312" w:hAnsiTheme="minorEastAsia" w:hint="eastAsia"/>
          <w:color w:val="000000" w:themeColor="text1"/>
          <w:sz w:val="32"/>
          <w:szCs w:val="32"/>
        </w:rPr>
        <w:t>肥政字〔2021〕6号</w:t>
      </w:r>
    </w:p>
    <w:p w:rsidR="009D129A" w:rsidRPr="002E3F18" w:rsidRDefault="009D129A" w:rsidP="009D129A">
      <w:pPr>
        <w:pStyle w:val="a5"/>
        <w:widowControl/>
        <w:shd w:val="clear" w:color="auto" w:fill="FFFFFF"/>
        <w:spacing w:beforeAutospacing="0" w:afterAutospacing="0" w:line="332" w:lineRule="atLeast"/>
        <w:rPr>
          <w:rFonts w:ascii="仿宋_GB2312" w:eastAsia="仿宋_GB2312" w:hAnsi="仿宋" w:cstheme="minorBidi"/>
          <w:kern w:val="2"/>
          <w:sz w:val="32"/>
          <w:szCs w:val="32"/>
        </w:rPr>
      </w:pPr>
      <w:r>
        <w:rPr>
          <w:rFonts w:ascii="仿宋_GB2312" w:eastAsia="仿宋_GB2312" w:hAnsi="仿宋" w:cstheme="minorBidi" w:hint="eastAsia"/>
          <w:kern w:val="2"/>
          <w:sz w:val="32"/>
          <w:szCs w:val="32"/>
        </w:rPr>
        <w:t>各镇人民政府、街道办事处，高新区、经开区，市政府各部门、各直属机构，市属以上驻肥各单位：</w:t>
      </w:r>
      <w:r w:rsidRPr="002B55B4">
        <w:rPr>
          <w:rFonts w:ascii="宋体" w:eastAsia="宋体" w:hAnsi="宋体" w:cs="宋体" w:hint="eastAsia"/>
          <w:sz w:val="32"/>
          <w:szCs w:val="32"/>
        </w:rPr>
        <w:t> </w:t>
      </w:r>
    </w:p>
    <w:p w:rsidR="009D129A" w:rsidRPr="002B55B4" w:rsidRDefault="009D129A" w:rsidP="009D129A">
      <w:pPr>
        <w:widowControl/>
        <w:shd w:val="clear" w:color="auto" w:fill="FFFFFF"/>
        <w:spacing w:line="416" w:lineRule="atLeas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B55B4">
        <w:rPr>
          <w:rFonts w:ascii="仿宋_GB2312" w:eastAsia="仿宋_GB2312" w:hAnsi="仿宋" w:hint="eastAsia"/>
          <w:sz w:val="32"/>
          <w:szCs w:val="32"/>
        </w:rPr>
        <w:t>为进一步做好文物保护管理工作，根据《中华人民共和国文物保护法》和《山东省文物保护条例》等法律法规规定，核定孙家小庄劳工蒙难地旧址等17处文物点为肥城市第二批重点文物保护单位，现予以公布。各级各有关部门和单位要深入贯彻“保护为主、抢救第一、合理利用、加强管理”的工作方针，妥善处理好文物保护和经济发展的关系，根据不同文物的特点，采取切实可行的保护措施，认真做好全市重点文物保护单位的保护、管理和合理利用工作。对重点文物保护单位要尽快划出保护范围和建设控制地带，树立保护标志，做出标志说明。</w:t>
      </w:r>
    </w:p>
    <w:p w:rsidR="009D129A" w:rsidRPr="002B55B4" w:rsidRDefault="009D129A" w:rsidP="009D129A">
      <w:pPr>
        <w:widowControl/>
        <w:shd w:val="clear" w:color="auto" w:fill="FFFFFF"/>
        <w:spacing w:line="416" w:lineRule="atLeas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204AF1">
        <w:rPr>
          <w:rFonts w:ascii="仿宋_GB2312" w:eastAsia="仿宋_GB2312" w:hAnsi="仿宋" w:hint="eastAsia"/>
          <w:sz w:val="32"/>
          <w:szCs w:val="32"/>
        </w:rPr>
        <w:t>附件：肥城市第二批重点文物保护单位名单</w:t>
      </w:r>
    </w:p>
    <w:p w:rsidR="009D129A" w:rsidRPr="002B55B4" w:rsidRDefault="009D129A" w:rsidP="009D129A">
      <w:pPr>
        <w:widowControl/>
        <w:shd w:val="clear" w:color="auto" w:fill="FFFFFF"/>
        <w:spacing w:line="416" w:lineRule="atLeast"/>
        <w:jc w:val="right"/>
        <w:rPr>
          <w:rFonts w:ascii="仿宋_GB2312" w:eastAsia="仿宋_GB2312" w:hAnsi="仿宋"/>
          <w:sz w:val="32"/>
          <w:szCs w:val="32"/>
        </w:rPr>
      </w:pPr>
      <w:r w:rsidRPr="002B55B4">
        <w:rPr>
          <w:rFonts w:ascii="仿宋_GB2312" w:eastAsia="仿宋_GB2312" w:hAnsi="仿宋" w:hint="eastAsia"/>
          <w:sz w:val="32"/>
          <w:szCs w:val="32"/>
        </w:rPr>
        <w:t>肥城市人民政府</w:t>
      </w:r>
    </w:p>
    <w:p w:rsidR="009D129A" w:rsidRDefault="009D129A" w:rsidP="009D129A">
      <w:pPr>
        <w:widowControl/>
        <w:shd w:val="clear" w:color="auto" w:fill="FFFFFF"/>
        <w:spacing w:line="416" w:lineRule="atLeast"/>
        <w:jc w:val="right"/>
        <w:rPr>
          <w:rFonts w:ascii="仿宋_GB2312" w:eastAsia="仿宋_GB2312" w:hAnsi="仿宋"/>
          <w:sz w:val="32"/>
          <w:szCs w:val="32"/>
        </w:rPr>
      </w:pPr>
      <w:r w:rsidRPr="002B55B4">
        <w:rPr>
          <w:rFonts w:ascii="仿宋_GB2312" w:eastAsia="仿宋_GB2312" w:hAnsi="仿宋" w:hint="eastAsia"/>
          <w:sz w:val="32"/>
          <w:szCs w:val="32"/>
        </w:rPr>
        <w:t>2021年3月26日</w:t>
      </w:r>
    </w:p>
    <w:p w:rsidR="009D129A" w:rsidRPr="002B55B4" w:rsidRDefault="009D129A" w:rsidP="009D129A">
      <w:pPr>
        <w:widowControl/>
        <w:shd w:val="clear" w:color="auto" w:fill="FFFFFF"/>
        <w:spacing w:line="416" w:lineRule="atLeast"/>
        <w:ind w:right="160"/>
        <w:jc w:val="right"/>
        <w:rPr>
          <w:rFonts w:ascii="仿宋_GB2312" w:eastAsia="仿宋_GB2312" w:hAnsi="仿宋"/>
          <w:sz w:val="32"/>
          <w:szCs w:val="32"/>
        </w:rPr>
      </w:pPr>
    </w:p>
    <w:p w:rsidR="009D129A" w:rsidRPr="002B55B4" w:rsidRDefault="009D129A" w:rsidP="009D129A">
      <w:pPr>
        <w:widowControl/>
        <w:shd w:val="clear" w:color="auto" w:fill="FFFFFF"/>
        <w:spacing w:line="416" w:lineRule="atLeast"/>
        <w:jc w:val="right"/>
        <w:rPr>
          <w:rFonts w:ascii="仿宋_GB2312" w:eastAsia="仿宋_GB2312" w:hAnsi="仿宋"/>
          <w:sz w:val="32"/>
          <w:szCs w:val="32"/>
        </w:rPr>
      </w:pPr>
      <w:r w:rsidRPr="002B55B4">
        <w:rPr>
          <w:rFonts w:ascii="仿宋_GB2312" w:eastAsia="仿宋_GB2312" w:hAnsi="仿宋" w:hint="eastAsia"/>
          <w:sz w:val="32"/>
          <w:szCs w:val="32"/>
        </w:rPr>
        <w:t>肥城市人民政府办公室2021年3月26日印发</w:t>
      </w:r>
    </w:p>
    <w:p w:rsidR="00C337F6" w:rsidRPr="002B55B4" w:rsidRDefault="00C337F6" w:rsidP="009D129A">
      <w:pPr>
        <w:widowControl/>
        <w:shd w:val="clear" w:color="auto" w:fill="FFFFFF"/>
        <w:spacing w:line="416" w:lineRule="atLeast"/>
        <w:jc w:val="left"/>
        <w:rPr>
          <w:rFonts w:ascii="微软雅黑" w:eastAsia="微软雅黑" w:hAnsi="微软雅黑" w:cs="宋体"/>
          <w:color w:val="555555"/>
          <w:kern w:val="0"/>
          <w:sz w:val="24"/>
        </w:rPr>
      </w:pPr>
    </w:p>
    <w:p w:rsidR="009D129A" w:rsidRDefault="009D129A" w:rsidP="009D129A">
      <w:pPr>
        <w:widowControl/>
        <w:shd w:val="clear" w:color="auto" w:fill="FFFFFF"/>
        <w:spacing w:line="416" w:lineRule="atLeast"/>
        <w:jc w:val="left"/>
        <w:rPr>
          <w:rFonts w:ascii="仿宋_GB2312" w:eastAsia="仿宋_GB2312" w:hAnsi="仿宋"/>
          <w:sz w:val="44"/>
          <w:szCs w:val="44"/>
        </w:rPr>
      </w:pPr>
      <w:r w:rsidRPr="00435E16">
        <w:rPr>
          <w:rFonts w:ascii="仿宋_GB2312" w:eastAsia="仿宋_GB2312" w:hAnsi="仿宋" w:hint="eastAsia"/>
          <w:sz w:val="44"/>
          <w:szCs w:val="44"/>
        </w:rPr>
        <w:t>附件：</w:t>
      </w:r>
    </w:p>
    <w:p w:rsidR="009D129A" w:rsidRPr="00435E16" w:rsidRDefault="009D129A" w:rsidP="009D129A">
      <w:pPr>
        <w:widowControl/>
        <w:shd w:val="clear" w:color="auto" w:fill="FFFFFF"/>
        <w:spacing w:line="416" w:lineRule="atLeast"/>
        <w:ind w:firstLineChars="200" w:firstLine="880"/>
        <w:jc w:val="left"/>
        <w:rPr>
          <w:rFonts w:ascii="仿宋_GB2312" w:eastAsia="仿宋_GB2312" w:hAnsi="仿宋"/>
          <w:sz w:val="44"/>
          <w:szCs w:val="44"/>
        </w:rPr>
      </w:pPr>
      <w:r w:rsidRPr="00435E16">
        <w:rPr>
          <w:rFonts w:ascii="仿宋_GB2312" w:eastAsia="仿宋_GB2312" w:hAnsi="仿宋" w:hint="eastAsia"/>
          <w:sz w:val="44"/>
          <w:szCs w:val="44"/>
        </w:rPr>
        <w:t>肥城市第二批重点文物保护单位名单</w:t>
      </w:r>
    </w:p>
    <w:p w:rsidR="009D129A" w:rsidRPr="002B55B4" w:rsidRDefault="009D129A" w:rsidP="009D129A">
      <w:pPr>
        <w:widowControl/>
        <w:shd w:val="clear" w:color="auto" w:fill="FFFFFF"/>
        <w:spacing w:line="688" w:lineRule="atLeast"/>
        <w:jc w:val="center"/>
        <w:rPr>
          <w:rFonts w:ascii="微软雅黑" w:eastAsia="微软雅黑" w:hAnsi="微软雅黑" w:cs="宋体"/>
          <w:color w:val="555555"/>
          <w:kern w:val="0"/>
          <w:sz w:val="22"/>
          <w:szCs w:val="22"/>
        </w:rPr>
      </w:pPr>
      <w:r w:rsidRPr="002B55B4">
        <w:rPr>
          <w:rFonts w:ascii="Times New Roman" w:eastAsia="微软雅黑" w:hAnsi="Times New Roman" w:cs="Times New Roman"/>
          <w:b/>
          <w:bCs/>
          <w:color w:val="555555"/>
          <w:kern w:val="0"/>
          <w:sz w:val="19"/>
        </w:rPr>
        <w:t> 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一、抗战遗址、纪念设施（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tbl>
      <w:tblPr>
        <w:tblW w:w="10245" w:type="dxa"/>
        <w:jc w:val="center"/>
        <w:tblCellMar>
          <w:left w:w="0" w:type="dxa"/>
          <w:right w:w="0" w:type="dxa"/>
        </w:tblCellMar>
        <w:tblLook w:val="04A0"/>
      </w:tblPr>
      <w:tblGrid>
        <w:gridCol w:w="822"/>
        <w:gridCol w:w="1664"/>
        <w:gridCol w:w="2838"/>
        <w:gridCol w:w="1321"/>
        <w:gridCol w:w="3600"/>
      </w:tblGrid>
      <w:tr w:rsidR="009D129A" w:rsidRPr="002B55B4" w:rsidTr="00FD5AA7">
        <w:trPr>
          <w:trHeight w:val="375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2-01-1-01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孙家小庄劳工蒙难地旧址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1946</w:t>
            </w: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年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新城街道孙家小庄村东山坡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2-02-1-02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吕仙村战地医院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抗日战争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湖屯镇吕仙村东北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2-03-1-03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孝堂峪日军碉堡遗址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抗日战争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王庄镇孝堂峪村东双龙山山顶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32" w:lineRule="atLeast"/>
        <w:jc w:val="left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 </w:t>
      </w: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lastRenderedPageBreak/>
        <w:t>二、古遗址（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 </w:t>
      </w:r>
    </w:p>
    <w:tbl>
      <w:tblPr>
        <w:tblW w:w="10245" w:type="dxa"/>
        <w:jc w:val="center"/>
        <w:tblCellMar>
          <w:left w:w="0" w:type="dxa"/>
          <w:right w:w="0" w:type="dxa"/>
        </w:tblCellMar>
        <w:tblLook w:val="04A0"/>
      </w:tblPr>
      <w:tblGrid>
        <w:gridCol w:w="822"/>
        <w:gridCol w:w="1664"/>
        <w:gridCol w:w="2838"/>
        <w:gridCol w:w="1321"/>
        <w:gridCol w:w="3600"/>
      </w:tblGrid>
      <w:tr w:rsidR="009D129A" w:rsidRPr="002B55B4" w:rsidTr="00FD5AA7">
        <w:trPr>
          <w:trHeight w:val="375"/>
          <w:jc w:val="center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2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7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2-04-2-01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晒书城遗址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9D129A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东周—</w:t>
            </w:r>
          </w:p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桃园镇东里三村晒书城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2-05-2-02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元</w:t>
            </w:r>
            <w:r w:rsidRPr="002B55B4">
              <w:rPr>
                <w:rFonts w:ascii="仿宋_GB2312" w:eastAsia="仿宋" w:hAnsi="仿宋" w:cs="宋体" w:hint="eastAsia"/>
                <w:color w:val="000000" w:themeColor="text1"/>
                <w:kern w:val="0"/>
                <w:sz w:val="32"/>
                <w:szCs w:val="32"/>
              </w:rPr>
              <w:t>堽</w:t>
            </w: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城坝遗址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元代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spacing w:val="-16"/>
                <w:kern w:val="0"/>
                <w:sz w:val="32"/>
                <w:szCs w:val="32"/>
              </w:rPr>
              <w:t>汶阳镇张楼村南大汶河河堤内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2-06-2-03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陶山寨堡遗址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湖屯镇吕仙村西侧陶山山顶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2-07-2-04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小泰山寨堡遗址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湖屯镇关王殿村北小泰山山顶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 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仿宋_GB2312" w:eastAsia="仿宋_GB2312" w:hAnsi="黑体" w:cs="宋体" w:hint="eastAsia"/>
          <w:b/>
          <w:bCs/>
          <w:color w:val="000000" w:themeColor="text1"/>
          <w:kern w:val="0"/>
          <w:sz w:val="32"/>
          <w:szCs w:val="32"/>
        </w:rPr>
        <w:t>三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、古墓葬（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tbl>
      <w:tblPr>
        <w:tblW w:w="10290" w:type="dxa"/>
        <w:jc w:val="center"/>
        <w:tblCellMar>
          <w:left w:w="0" w:type="dxa"/>
          <w:right w:w="0" w:type="dxa"/>
        </w:tblCellMar>
        <w:tblLook w:val="04A0"/>
      </w:tblPr>
      <w:tblGrid>
        <w:gridCol w:w="838"/>
        <w:gridCol w:w="1664"/>
        <w:gridCol w:w="2864"/>
        <w:gridCol w:w="1284"/>
        <w:gridCol w:w="3640"/>
      </w:tblGrid>
      <w:tr w:rsidR="009D129A" w:rsidRPr="002B55B4" w:rsidTr="00FD5AA7">
        <w:trPr>
          <w:trHeight w:val="375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2-08-3-01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陈举墓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明代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安临站镇陈家楼村东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 </w:t>
      </w:r>
    </w:p>
    <w:p w:rsidR="009D129A" w:rsidRDefault="009D129A" w:rsidP="009D129A">
      <w:pPr>
        <w:widowControl/>
        <w:shd w:val="clear" w:color="auto" w:fill="FFFFFF"/>
        <w:spacing w:line="416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16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Default="009D129A" w:rsidP="009D129A">
      <w:pPr>
        <w:widowControl/>
        <w:shd w:val="clear" w:color="auto" w:fill="FFFFFF"/>
        <w:spacing w:line="416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Pr="002B55B4" w:rsidRDefault="009D129A" w:rsidP="009D129A">
      <w:pPr>
        <w:widowControl/>
        <w:shd w:val="clear" w:color="auto" w:fill="FFFFFF"/>
        <w:spacing w:line="416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lastRenderedPageBreak/>
        <w:t>四、古建筑（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1664"/>
        <w:gridCol w:w="2790"/>
        <w:gridCol w:w="1384"/>
        <w:gridCol w:w="3564"/>
      </w:tblGrid>
      <w:tr w:rsidR="009D129A" w:rsidRPr="002B55B4" w:rsidTr="00FD5AA7">
        <w:trPr>
          <w:trHeight w:val="1009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2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2-09-4-01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张店天齐庙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明代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湖屯镇张店村旧村址内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2-10-4-02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吕仙村古民居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spacing w:val="-16"/>
                <w:kern w:val="0"/>
                <w:sz w:val="32"/>
                <w:szCs w:val="32"/>
              </w:rPr>
              <w:t>清代、民国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湖屯镇吕仙村内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2-11-4-03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邓李付文昌阁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明代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王瓜店街道邓李付村北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2-12-4-04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ind w:right="48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尹氏老宅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石横镇石横三村内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2-13-4-05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李家大院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新城街道东尚里村内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2-14-4-06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项氏老宅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王庄镇项屯村内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2-15-4-07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刘氏老宅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清代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王庄镇项屯村内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五、石窟寺石刻（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tbl>
      <w:tblPr>
        <w:tblW w:w="10155" w:type="dxa"/>
        <w:jc w:val="center"/>
        <w:tblCellMar>
          <w:left w:w="0" w:type="dxa"/>
          <w:right w:w="0" w:type="dxa"/>
        </w:tblCellMar>
        <w:tblLook w:val="04A0"/>
      </w:tblPr>
      <w:tblGrid>
        <w:gridCol w:w="767"/>
        <w:gridCol w:w="1664"/>
        <w:gridCol w:w="2782"/>
        <w:gridCol w:w="1384"/>
        <w:gridCol w:w="3558"/>
      </w:tblGrid>
      <w:tr w:rsidR="009D129A" w:rsidRPr="002B55B4" w:rsidTr="00FD5AA7">
        <w:trPr>
          <w:trHeight w:val="375"/>
          <w:jc w:val="center"/>
        </w:trPr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2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2-16-5-01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肥猪山仙人洞石刻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不详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spacing w:val="-16"/>
                <w:kern w:val="0"/>
                <w:sz w:val="32"/>
                <w:szCs w:val="32"/>
              </w:rPr>
              <w:t>安临站镇西陆房村肥猪山东壁半山腰处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E75499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32"/>
          <w:szCs w:val="32"/>
        </w:rPr>
        <w:t> </w:t>
      </w:r>
    </w:p>
    <w:p w:rsidR="009D129A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黑体" w:cs="宋体"/>
          <w:color w:val="000000" w:themeColor="text1"/>
          <w:kern w:val="0"/>
          <w:sz w:val="32"/>
          <w:szCs w:val="32"/>
        </w:rPr>
      </w:pP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lastRenderedPageBreak/>
        <w:t>六、近现代重要史迹及代表性建筑（</w:t>
      </w:r>
      <w:r w:rsidRPr="002B55B4">
        <w:rPr>
          <w:rFonts w:ascii="仿宋_GB2312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 w:rsidRPr="002B55B4">
        <w:rPr>
          <w:rFonts w:ascii="仿宋_GB2312" w:eastAsia="仿宋_GB2312" w:hAnsi="黑体" w:cs="宋体" w:hint="eastAsia"/>
          <w:color w:val="000000" w:themeColor="text1"/>
          <w:kern w:val="0"/>
          <w:sz w:val="32"/>
          <w:szCs w:val="32"/>
        </w:rPr>
        <w:t>处）</w:t>
      </w:r>
    </w:p>
    <w:p w:rsidR="009D129A" w:rsidRPr="002B55B4" w:rsidRDefault="009D129A" w:rsidP="009D129A">
      <w:pPr>
        <w:widowControl/>
        <w:shd w:val="clear" w:color="auto" w:fill="FFFFFF"/>
        <w:spacing w:line="432" w:lineRule="atLeast"/>
        <w:jc w:val="center"/>
        <w:rPr>
          <w:rFonts w:ascii="仿宋_GB2312" w:eastAsia="仿宋_GB2312" w:hAnsi="微软雅黑" w:cs="宋体"/>
          <w:color w:val="000000" w:themeColor="text1"/>
          <w:kern w:val="0"/>
          <w:sz w:val="32"/>
          <w:szCs w:val="32"/>
        </w:rPr>
      </w:pPr>
      <w:r w:rsidRPr="002B55B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 </w:t>
      </w:r>
    </w:p>
    <w:tbl>
      <w:tblPr>
        <w:tblW w:w="10200" w:type="dxa"/>
        <w:jc w:val="center"/>
        <w:tblCellMar>
          <w:left w:w="0" w:type="dxa"/>
          <w:right w:w="0" w:type="dxa"/>
        </w:tblCellMar>
        <w:tblLook w:val="04A0"/>
      </w:tblPr>
      <w:tblGrid>
        <w:gridCol w:w="783"/>
        <w:gridCol w:w="1664"/>
        <w:gridCol w:w="2767"/>
        <w:gridCol w:w="1399"/>
        <w:gridCol w:w="3587"/>
      </w:tblGrid>
      <w:tr w:rsidR="009D129A" w:rsidRPr="002B55B4" w:rsidTr="00FD5AA7">
        <w:trPr>
          <w:trHeight w:val="375"/>
          <w:jc w:val="center"/>
        </w:trPr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序号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编号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时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代</w:t>
            </w:r>
          </w:p>
        </w:tc>
        <w:tc>
          <w:tcPr>
            <w:tcW w:w="3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地</w:t>
            </w:r>
            <w:r w:rsidRPr="002B55B4"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   </w:t>
            </w: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2B55B4">
              <w:rPr>
                <w:rFonts w:ascii="仿宋_GB2312" w:eastAsia="仿宋_GB2312" w:hAnsi="黑体" w:cs="宋体" w:hint="eastAsia"/>
                <w:color w:val="000000" w:themeColor="text1"/>
                <w:kern w:val="0"/>
                <w:sz w:val="32"/>
                <w:szCs w:val="32"/>
              </w:rPr>
              <w:t>址</w:t>
            </w:r>
          </w:p>
        </w:tc>
      </w:tr>
      <w:tr w:rsidR="009D129A" w:rsidRPr="002B55B4" w:rsidTr="00FD5AA7">
        <w:trPr>
          <w:trHeight w:val="675"/>
          <w:jc w:val="center"/>
        </w:trPr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17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Times New Roman" w:cs="Times New Roman" w:hint="eastAsia"/>
                <w:color w:val="000000" w:themeColor="text1"/>
                <w:kern w:val="0"/>
                <w:sz w:val="32"/>
                <w:szCs w:val="32"/>
              </w:rPr>
              <w:t>2-17-6-01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么山八一水渠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center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1969年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12" w:type="dxa"/>
              <w:bottom w:w="0" w:type="dxa"/>
              <w:right w:w="112" w:type="dxa"/>
            </w:tcMar>
            <w:vAlign w:val="center"/>
            <w:hideMark/>
          </w:tcPr>
          <w:p w:rsidR="002B55B4" w:rsidRPr="002B55B4" w:rsidRDefault="009D129A" w:rsidP="00FD5AA7">
            <w:pPr>
              <w:widowControl/>
              <w:spacing w:line="432" w:lineRule="atLeast"/>
              <w:jc w:val="left"/>
              <w:rPr>
                <w:rFonts w:ascii="仿宋_GB2312" w:eastAsia="仿宋_GB2312" w:hAnsi="微软雅黑" w:cs="宋体"/>
                <w:color w:val="000000" w:themeColor="text1"/>
                <w:kern w:val="0"/>
                <w:sz w:val="32"/>
                <w:szCs w:val="32"/>
              </w:rPr>
            </w:pPr>
            <w:r w:rsidRPr="002B55B4">
              <w:rPr>
                <w:rFonts w:ascii="仿宋_GB2312" w:eastAsia="仿宋_GB2312" w:hAnsi="微软雅黑" w:cs="宋体" w:hint="eastAsia"/>
                <w:color w:val="000000" w:themeColor="text1"/>
                <w:kern w:val="0"/>
                <w:sz w:val="32"/>
                <w:szCs w:val="32"/>
              </w:rPr>
              <w:t>安临站镇么山村南</w:t>
            </w:r>
          </w:p>
        </w:tc>
      </w:tr>
    </w:tbl>
    <w:p w:rsidR="009D129A" w:rsidRPr="002B55B4" w:rsidRDefault="009D129A" w:rsidP="009D129A">
      <w:pPr>
        <w:widowControl/>
        <w:shd w:val="clear" w:color="auto" w:fill="FFFFFF"/>
        <w:spacing w:line="416" w:lineRule="atLeast"/>
        <w:jc w:val="left"/>
        <w:rPr>
          <w:rFonts w:ascii="微软雅黑" w:eastAsia="微软雅黑" w:hAnsi="微软雅黑" w:cs="宋体"/>
          <w:color w:val="555555"/>
          <w:kern w:val="0"/>
          <w:sz w:val="22"/>
          <w:szCs w:val="22"/>
        </w:rPr>
      </w:pPr>
      <w:r w:rsidRPr="002B55B4">
        <w:rPr>
          <w:rFonts w:ascii="Times New Roman" w:eastAsia="微软雅黑" w:hAnsi="Times New Roman" w:cs="Times New Roman"/>
          <w:b/>
          <w:bCs/>
          <w:color w:val="555555"/>
          <w:kern w:val="0"/>
          <w:sz w:val="11"/>
        </w:rPr>
        <w:t> </w:t>
      </w: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9D129A" w:rsidRDefault="009D129A" w:rsidP="009D129A">
      <w:pPr>
        <w:spacing w:line="520" w:lineRule="exact"/>
        <w:rPr>
          <w:rFonts w:ascii="宋体" w:eastAsia="宋体" w:hAnsi="宋体" w:cs="宋体"/>
          <w:sz w:val="44"/>
          <w:szCs w:val="44"/>
        </w:rPr>
      </w:pPr>
    </w:p>
    <w:p w:rsidR="00C31E7B" w:rsidRDefault="000675E2" w:rsidP="009D129A">
      <w:pPr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肥城市人民政府</w:t>
      </w:r>
    </w:p>
    <w:p w:rsidR="00C31E7B" w:rsidRDefault="00072560" w:rsidP="00072560">
      <w:pPr>
        <w:pStyle w:val="a5"/>
        <w:widowControl/>
        <w:shd w:val="clear" w:color="auto" w:fill="FFFFFF"/>
        <w:spacing w:beforeAutospacing="0" w:afterAutospacing="0" w:line="450" w:lineRule="atLeast"/>
        <w:jc w:val="center"/>
        <w:rPr>
          <w:rFonts w:ascii="宋体" w:eastAsia="宋体" w:hAnsi="宋体" w:cs="宋体"/>
          <w:kern w:val="2"/>
          <w:sz w:val="44"/>
          <w:szCs w:val="44"/>
        </w:rPr>
      </w:pPr>
      <w:r w:rsidRPr="00072560">
        <w:rPr>
          <w:rFonts w:ascii="宋体" w:eastAsia="宋体" w:hAnsi="宋体" w:cs="宋体" w:hint="eastAsia"/>
          <w:kern w:val="2"/>
          <w:sz w:val="44"/>
          <w:szCs w:val="44"/>
        </w:rPr>
        <w:t>关于印发肥城市“双十”企业和功勋企业家评选办法的通知</w:t>
      </w:r>
    </w:p>
    <w:p w:rsidR="00C87213" w:rsidRDefault="00C87213" w:rsidP="00072560">
      <w:pPr>
        <w:pStyle w:val="a5"/>
        <w:widowControl/>
        <w:shd w:val="clear" w:color="auto" w:fill="FFFFFF"/>
        <w:spacing w:beforeAutospacing="0" w:afterAutospacing="0" w:line="450" w:lineRule="atLeast"/>
        <w:jc w:val="center"/>
        <w:rPr>
          <w:rFonts w:ascii="微软雅黑" w:eastAsia="微软雅黑" w:hAnsi="微软雅黑" w:cs="微软雅黑"/>
          <w:sz w:val="22"/>
          <w:szCs w:val="22"/>
        </w:rPr>
      </w:pPr>
    </w:p>
    <w:p w:rsidR="00C31E7B" w:rsidRDefault="00CA61D9">
      <w:pPr>
        <w:spacing w:line="520" w:lineRule="exact"/>
        <w:jc w:val="center"/>
        <w:rPr>
          <w:rFonts w:ascii="楷体_GB2312" w:eastAsia="楷体_GB2312" w:hAnsiTheme="minorEastAsia"/>
          <w:sz w:val="32"/>
          <w:szCs w:val="32"/>
        </w:rPr>
      </w:pPr>
      <w:r w:rsidRPr="00CA61D9">
        <w:rPr>
          <w:rFonts w:ascii="楷体_GB2312" w:eastAsia="楷体_GB2312" w:hAnsiTheme="minorEastAsia" w:hint="eastAsia"/>
          <w:sz w:val="32"/>
          <w:szCs w:val="32"/>
        </w:rPr>
        <w:t>肥政发〔2021〕1号</w:t>
      </w:r>
    </w:p>
    <w:p w:rsidR="00C31E7B" w:rsidRDefault="00C31E7B">
      <w:pPr>
        <w:spacing w:line="520" w:lineRule="exact"/>
        <w:jc w:val="center"/>
        <w:rPr>
          <w:rFonts w:ascii="楷体_GB2312" w:eastAsia="楷体_GB2312" w:hAnsiTheme="minorEastAsia"/>
          <w:sz w:val="32"/>
          <w:szCs w:val="32"/>
        </w:rPr>
      </w:pPr>
      <w:bookmarkStart w:id="0" w:name="_GoBack"/>
      <w:bookmarkEnd w:id="0"/>
    </w:p>
    <w:p w:rsidR="00C31E7B" w:rsidRDefault="000675E2">
      <w:pPr>
        <w:widowControl/>
        <w:shd w:val="clear" w:color="auto" w:fill="FFFFFF"/>
        <w:spacing w:line="332" w:lineRule="atLeast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各镇人民政府、街道办事处，高新区、经开区，市政府有关部门、直属机构，市属以上驻肥有关单位：</w:t>
      </w:r>
    </w:p>
    <w:p w:rsidR="00F77BF5" w:rsidRDefault="00344A13" w:rsidP="00F77BF5">
      <w:pPr>
        <w:pStyle w:val="a5"/>
        <w:widowControl/>
        <w:shd w:val="clear" w:color="auto" w:fill="FFFFFF"/>
        <w:spacing w:beforeAutospacing="0" w:afterAutospacing="0" w:line="450" w:lineRule="atLeast"/>
        <w:ind w:firstLineChars="200" w:firstLine="640"/>
        <w:rPr>
          <w:rFonts w:ascii="仿宋_GB2312" w:eastAsia="仿宋_GB2312" w:hAnsiTheme="minorEastAsia" w:cstheme="minorBidi"/>
          <w:kern w:val="2"/>
          <w:sz w:val="32"/>
          <w:szCs w:val="32"/>
        </w:rPr>
      </w:pPr>
      <w:r w:rsidRPr="00344A13">
        <w:rPr>
          <w:rFonts w:ascii="仿宋_GB2312" w:eastAsia="仿宋_GB2312" w:hAnsiTheme="minorEastAsia" w:cstheme="minorBidi" w:hint="eastAsia"/>
          <w:kern w:val="2"/>
          <w:sz w:val="32"/>
          <w:szCs w:val="32"/>
        </w:rPr>
        <w:t>现将《肥城市“双十”企业和功勋企业家评选办法》印发给你们，请认真贯彻执行。</w:t>
      </w:r>
    </w:p>
    <w:p w:rsidR="00154719" w:rsidRPr="00154719" w:rsidRDefault="00154719" w:rsidP="00154719">
      <w:pPr>
        <w:pStyle w:val="a5"/>
        <w:spacing w:beforeAutospacing="0" w:afterAutospacing="0" w:line="600" w:lineRule="exact"/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154719">
        <w:rPr>
          <w:rFonts w:ascii="仿宋_GB2312" w:eastAsia="仿宋_GB2312" w:hAnsiTheme="minorEastAsia" w:hint="eastAsia"/>
          <w:sz w:val="32"/>
          <w:szCs w:val="32"/>
        </w:rPr>
        <w:t>肥城市人民政府</w:t>
      </w:r>
    </w:p>
    <w:p w:rsidR="00154719" w:rsidRPr="00D16EAA" w:rsidRDefault="00154719" w:rsidP="00D16EAA">
      <w:pPr>
        <w:pStyle w:val="a5"/>
        <w:spacing w:beforeAutospacing="0" w:afterAutospacing="0" w:line="600" w:lineRule="exact"/>
        <w:ind w:firstLineChars="200" w:firstLine="640"/>
        <w:jc w:val="right"/>
        <w:rPr>
          <w:rFonts w:ascii="仿宋_GB2312" w:eastAsia="仿宋_GB2312" w:hAnsiTheme="minorEastAsia"/>
          <w:sz w:val="32"/>
          <w:szCs w:val="32"/>
        </w:rPr>
      </w:pPr>
      <w:r w:rsidRPr="00154719">
        <w:rPr>
          <w:rFonts w:ascii="仿宋_GB2312" w:eastAsia="仿宋_GB2312" w:hAnsiTheme="minorEastAsia" w:hint="eastAsia"/>
          <w:sz w:val="32"/>
          <w:szCs w:val="32"/>
        </w:rPr>
        <w:t>2021年3月31日</w:t>
      </w:r>
    </w:p>
    <w:p w:rsidR="00F77BF5" w:rsidRPr="00780FD3" w:rsidRDefault="004C3A24" w:rsidP="00F77BF5">
      <w:pPr>
        <w:pStyle w:val="a5"/>
        <w:spacing w:beforeAutospacing="0" w:afterAutospacing="0" w:line="600" w:lineRule="exact"/>
        <w:jc w:val="center"/>
        <w:rPr>
          <w:rFonts w:ascii="黑体" w:eastAsia="黑体" w:hAnsi="黑体"/>
          <w:sz w:val="32"/>
          <w:szCs w:val="32"/>
        </w:rPr>
      </w:pPr>
      <w:r w:rsidRPr="00780FD3">
        <w:rPr>
          <w:rFonts w:ascii="黑体" w:eastAsia="黑体" w:hAnsi="黑体" w:hint="eastAsia"/>
          <w:sz w:val="32"/>
          <w:szCs w:val="32"/>
        </w:rPr>
        <w:t>肥城市“双十”企业和功勋企业家评选办法</w:t>
      </w:r>
    </w:p>
    <w:p w:rsidR="004C3A24" w:rsidRPr="004C3A24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为弘扬企业家精神，激励企业家干事创业，推动企业做大做强，经市政府研究决定，在全市范围内组织实施“双十”企业和功勋企业家评选工程，特制定本办法。</w:t>
      </w:r>
    </w:p>
    <w:p w:rsidR="00781C00" w:rsidRDefault="004C3A24" w:rsidP="00781C00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一、评选内容</w:t>
      </w:r>
    </w:p>
    <w:p w:rsidR="00781C00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每年评选“十大工商企业”“十大建安企业”和功勋企业家若干名。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二、评选方式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由市工业和信息化局牵头，财政、税务、自然资源和规划、建筑安装业发展中心等部门配合，坚持公开、公平、公正原则，严格依据企业年末数据进行评选。市工业和信息化</w:t>
      </w:r>
      <w:r w:rsidRPr="004C3A24">
        <w:rPr>
          <w:rFonts w:ascii="仿宋_GB2312" w:eastAsia="仿宋_GB2312" w:hAnsiTheme="minorEastAsia" w:hint="eastAsia"/>
          <w:sz w:val="32"/>
          <w:szCs w:val="32"/>
        </w:rPr>
        <w:lastRenderedPageBreak/>
        <w:t>局根据各部门提供的数据进行汇总折算后取前十名，报请市政府同意后予以表彰。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（一）“十大工商企业”评分标准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1.企业规模（30分）：企业得分=（营业收入/全市企业营业收入最高值）×20+（纳税总额/全市企业纳税总额最高值）×10。（数据提报审核部门：市税务局）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2.财政贡献（40分）：企业得分=（实际税收入库地方留成/全市企业实际税收入库地方留成最高值）×30+（实际税收入库地方留成同比增长幅度/全市企业实际税收入库地方留成同比增长幅度最高值）×10。（数据提报审核部门：市财政局）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3.亩均产出（20分）：企业得分=（亩均纳税额/全市企业亩均纳税额最高值）×15+（亩均营业收入/全市企业亩均营业收入最高值）×5。（数据提报审核部门：市自然资源和规划局、财政局、税务局）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4.效益增长（10分）：企业得分=（营业收入同比增长幅度/全市企业营业收入同比增长幅度最高值）×5+（纳税总额同比增长幅度/全市企业纳税总额同比增长幅度最高值）×5。（数据提报审核部门：市税务局）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（二）“十大建安企业”评分标准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1.财政贡献（90分）：考核建筑安装企业对肥城市财政贡献情况，当年度财政贡献额第一名的企业计满分，其他与第一名进行同比计分。（数据提报审核部门：市财政局）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lastRenderedPageBreak/>
        <w:t>2.资质晋升（5分）：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(1)晋升为施工总承包特级资质的建筑安装企业，每项计10分；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(2)晋升为施工总承包一级资质的建筑安装企业，每项计7分；晋升为专业承包一级资质的建筑安装企业，每项计4分；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(3)晋升为施工总承包二级资质的建筑安装企业，每项计4分；晋升为专业承包二级资质的建筑安装企业，每项计2分；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(4)施工总承包、专业承包增项的建筑安装企业，每增一项计1分。</w:t>
      </w:r>
    </w:p>
    <w:p w:rsidR="004C3A24" w:rsidRPr="004C3A24" w:rsidRDefault="004C3A24" w:rsidP="00781C00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资质晋升考核第一名的企业得满分，其他与第一名进行同比计分。（数据提报审核部门：市建筑安装业发展中心）</w:t>
      </w:r>
    </w:p>
    <w:p w:rsidR="00444BDF" w:rsidRDefault="004C3A24" w:rsidP="00444BDF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3.创建优质工程(3分)：</w:t>
      </w:r>
    </w:p>
    <w:p w:rsidR="004C3A24" w:rsidRPr="004C3A24" w:rsidRDefault="004C3A24" w:rsidP="00444BDF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(1)获得“鲁班奖”“国家优质工程奖”的，每项工程分别计15分、12分；</w:t>
      </w:r>
    </w:p>
    <w:p w:rsidR="004C3A24" w:rsidRPr="004C3A24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(2)获得参建“鲁班奖”“国家优质工程奖”的，每项工程计10分；</w:t>
      </w:r>
    </w:p>
    <w:p w:rsidR="004C3A24" w:rsidRPr="004C3A24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(3)获得“国家级(专业)优质工程奖”(中国钢结构金奖、中国安装之星、全国装饰奖等)的，每项工程计10分；</w:t>
      </w:r>
    </w:p>
    <w:p w:rsidR="005C6ED6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(4)获得“泰山杯奖”“鲁安杯奖”的(均含相同等级)，每项工程分别计5分、3分；</w:t>
      </w:r>
      <w:r w:rsidRPr="004C3A24">
        <w:rPr>
          <w:rFonts w:ascii="仿宋_GB2312" w:eastAsia="仿宋_GB2312" w:hAnsiTheme="minorEastAsia" w:hint="eastAsia"/>
          <w:sz w:val="32"/>
          <w:szCs w:val="32"/>
        </w:rPr>
        <w:t> </w:t>
      </w:r>
      <w:r w:rsidRPr="004C3A24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4C3A24">
        <w:rPr>
          <w:rFonts w:ascii="仿宋_GB2312" w:eastAsia="仿宋_GB2312" w:hAnsiTheme="minorEastAsia" w:hint="eastAsia"/>
          <w:sz w:val="32"/>
          <w:szCs w:val="32"/>
        </w:rPr>
        <w:t> </w:t>
      </w:r>
    </w:p>
    <w:p w:rsidR="005C6ED6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(5)获得省级优质结构杯奖的，每项工程计2分；</w:t>
      </w:r>
    </w:p>
    <w:p w:rsidR="005C6ED6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lastRenderedPageBreak/>
        <w:t>(6)获得市级优质结构杯奖的，每项工程计1分。</w:t>
      </w:r>
    </w:p>
    <w:p w:rsidR="005C6ED6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对同一项工程获得多项质量奖的，按最高项计分；获得省外等级别奖励的，按相应级别计分。</w:t>
      </w:r>
    </w:p>
    <w:p w:rsidR="004C3A24" w:rsidRPr="004C3A24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创建优质工程第一名的企业得满分，其他与第一名进行同比计分。（数据提报审核部门：市建筑安装业发展中心）</w:t>
      </w:r>
    </w:p>
    <w:p w:rsidR="00EA38E7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4.建筑业总产值（2分）：</w:t>
      </w:r>
    </w:p>
    <w:p w:rsidR="00444BDF" w:rsidRDefault="004C3A24" w:rsidP="00444BDF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当年完成建筑业总产值第一名的企业得满分，其他与第一名进行同比计分。（数据提报审核部门：市建筑安装业发展中心）</w:t>
      </w:r>
    </w:p>
    <w:p w:rsidR="00973EA4" w:rsidRDefault="004C3A24" w:rsidP="00444BDF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（三）功勋企业家</w:t>
      </w:r>
    </w:p>
    <w:p w:rsidR="00973EA4" w:rsidRDefault="004C3A24" w:rsidP="00444BDF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对当年地方财政贡献过5000万元（含5000万元）的企业法人代表，授予“功勋企业家”称号。（数据提报审核部门：市财政局）</w:t>
      </w:r>
    </w:p>
    <w:p w:rsidR="00973EA4" w:rsidRDefault="004C3A24" w:rsidP="00C04AF8">
      <w:pPr>
        <w:pStyle w:val="a5"/>
        <w:spacing w:beforeAutospacing="0" w:afterAutospacing="0" w:line="600" w:lineRule="exact"/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b/>
          <w:bCs/>
          <w:sz w:val="32"/>
          <w:szCs w:val="32"/>
        </w:rPr>
        <w:t>三、有关要求</w:t>
      </w:r>
    </w:p>
    <w:p w:rsidR="00937B5C" w:rsidRDefault="004C3A24" w:rsidP="00C04AF8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入选企业及法人代表应做到守法经营、规范管理、依法纳税、安全生产、节能减排、保护生态环境、保障职工权益。近三年内未发生违法违规行为，未发生重大及以上安全、质量、环保事故和群体性事件。</w:t>
      </w:r>
    </w:p>
    <w:p w:rsidR="0019493C" w:rsidRDefault="004C3A24" w:rsidP="003C539C">
      <w:pPr>
        <w:pStyle w:val="a5"/>
        <w:spacing w:beforeAutospacing="0" w:afterAutospacing="0" w:line="60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本办法自印发之日起执行，原《肥城市人民政府关于印发肥城市企业培植“双十”工程评选方案的通知》（肥政发〔2017〕4号）同时废止。</w:t>
      </w:r>
    </w:p>
    <w:p w:rsidR="00C31E7B" w:rsidRPr="004C4BDC" w:rsidRDefault="004C3A24" w:rsidP="004C4BDC">
      <w:pPr>
        <w:pStyle w:val="a5"/>
        <w:spacing w:line="450" w:lineRule="atLeast"/>
        <w:ind w:firstLineChars="600" w:firstLine="1920"/>
        <w:rPr>
          <w:rFonts w:ascii="仿宋_GB2312" w:eastAsia="仿宋_GB2312" w:hAnsiTheme="minorEastAsia"/>
          <w:sz w:val="32"/>
          <w:szCs w:val="32"/>
        </w:rPr>
      </w:pPr>
      <w:r w:rsidRPr="004C3A24">
        <w:rPr>
          <w:rFonts w:ascii="仿宋_GB2312" w:eastAsia="仿宋_GB2312" w:hAnsiTheme="minorEastAsia" w:hint="eastAsia"/>
          <w:sz w:val="32"/>
          <w:szCs w:val="32"/>
        </w:rPr>
        <w:t>肥城市人民政府办公室2021年3月31日印发</w:t>
      </w:r>
    </w:p>
    <w:sectPr w:rsidR="00C31E7B" w:rsidRPr="004C4BDC" w:rsidSect="00FE40B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E2F" w:rsidRDefault="000A7E2F" w:rsidP="00C31E7B">
      <w:r>
        <w:separator/>
      </w:r>
    </w:p>
  </w:endnote>
  <w:endnote w:type="continuationSeparator" w:id="0">
    <w:p w:rsidR="000A7E2F" w:rsidRDefault="000A7E2F" w:rsidP="00C31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5407011"/>
    </w:sdtPr>
    <w:sdtContent>
      <w:p w:rsidR="00C31E7B" w:rsidRPr="000F0848" w:rsidRDefault="00571E36" w:rsidP="000F0848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0F0848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FE40B4" w:rsidRPr="00FE40B4">
          <w:rPr>
            <w:noProof/>
            <w:sz w:val="28"/>
            <w:szCs w:val="28"/>
            <w:lang w:val="zh-CN"/>
          </w:rPr>
          <w:t>-</w:t>
        </w:r>
        <w:r w:rsidR="00FE40B4">
          <w:rPr>
            <w:noProof/>
            <w:sz w:val="28"/>
            <w:szCs w:val="28"/>
          </w:rPr>
          <w:t xml:space="preserve"> 2 -</w:t>
        </w:r>
        <w:r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7B" w:rsidRDefault="00571E36">
    <w:pPr>
      <w:pStyle w:val="a3"/>
      <w:rPr>
        <w:sz w:val="28"/>
        <w:szCs w:val="28"/>
      </w:rPr>
    </w:pPr>
    <w:r w:rsidRPr="00571E36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lef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 filled="f" stroked="f" strokeweight=".5pt">
          <v:textbox style="mso-fit-shape-to-text:t" inset="0,0,0,0">
            <w:txbxContent>
              <w:sdt>
                <w:sdtPr>
                  <w:rPr>
                    <w:sz w:val="28"/>
                    <w:szCs w:val="28"/>
                  </w:rPr>
                  <w:id w:val="3351185"/>
                </w:sdtPr>
                <w:sdtContent>
                  <w:p w:rsidR="00C31E7B" w:rsidRDefault="00571E36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 w:rsidR="000675E2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FE40B4" w:rsidRPr="00FE40B4">
                      <w:rPr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FE40B4">
                      <w:rPr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C31E7B" w:rsidRDefault="00C31E7B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C31E7B" w:rsidRDefault="00C31E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E2F" w:rsidRDefault="000A7E2F" w:rsidP="00C31E7B">
      <w:r>
        <w:separator/>
      </w:r>
    </w:p>
  </w:footnote>
  <w:footnote w:type="continuationSeparator" w:id="0">
    <w:p w:rsidR="000A7E2F" w:rsidRDefault="000A7E2F" w:rsidP="00C31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7B" w:rsidRDefault="000675E2">
    <w:pPr>
      <w:pStyle w:val="a4"/>
      <w:ind w:firstLineChars="2350" w:firstLine="4935"/>
      <w:jc w:val="lef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肥城市人民政府公报</w:t>
    </w:r>
    <w:r w:rsidR="00096879">
      <w:rPr>
        <w:rFonts w:ascii="黑体" w:eastAsia="黑体" w:hAnsi="黑体" w:hint="eastAsia"/>
        <w:sz w:val="21"/>
        <w:szCs w:val="21"/>
      </w:rPr>
      <w:t xml:space="preserve">  2021</w:t>
    </w:r>
    <w:r>
      <w:rPr>
        <w:rFonts w:ascii="黑体" w:eastAsia="黑体" w:hAnsi="黑体" w:hint="eastAsia"/>
        <w:sz w:val="21"/>
        <w:szCs w:val="21"/>
      </w:rPr>
      <w:t>年第</w:t>
    </w:r>
    <w:r w:rsidR="00096879">
      <w:rPr>
        <w:rFonts w:ascii="黑体" w:eastAsia="黑体" w:hAnsi="黑体" w:hint="eastAsia"/>
        <w:sz w:val="21"/>
        <w:szCs w:val="21"/>
      </w:rPr>
      <w:t>1</w:t>
    </w:r>
    <w:r>
      <w:rPr>
        <w:rFonts w:ascii="黑体" w:eastAsia="黑体" w:hAnsi="黑体" w:hint="eastAsia"/>
        <w:sz w:val="21"/>
        <w:szCs w:val="21"/>
      </w:rPr>
      <w:t>期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7B" w:rsidRDefault="000675E2">
    <w:pPr>
      <w:pStyle w:val="a4"/>
      <w:jc w:val="lef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肥城市人民政府公报  202</w:t>
    </w:r>
    <w:r w:rsidR="00096879">
      <w:rPr>
        <w:rFonts w:ascii="黑体" w:eastAsia="黑体" w:hAnsi="黑体" w:hint="eastAsia"/>
        <w:sz w:val="21"/>
        <w:szCs w:val="21"/>
      </w:rPr>
      <w:t>1</w:t>
    </w:r>
    <w:r>
      <w:rPr>
        <w:rFonts w:ascii="黑体" w:eastAsia="黑体" w:hAnsi="黑体" w:hint="eastAsia"/>
        <w:sz w:val="21"/>
        <w:szCs w:val="21"/>
      </w:rPr>
      <w:t>年第</w:t>
    </w:r>
    <w:r w:rsidR="00096879">
      <w:rPr>
        <w:rFonts w:ascii="黑体" w:eastAsia="黑体" w:hAnsi="黑体" w:hint="eastAsia"/>
        <w:sz w:val="21"/>
        <w:szCs w:val="21"/>
      </w:rPr>
      <w:t>1</w:t>
    </w:r>
    <w:r>
      <w:rPr>
        <w:rFonts w:ascii="黑体" w:eastAsia="黑体" w:hAnsi="黑体" w:hint="eastAsia"/>
        <w:sz w:val="21"/>
        <w:szCs w:val="21"/>
      </w:rPr>
      <w:t>期</w:t>
    </w:r>
    <w:r>
      <w:rPr>
        <w:rFonts w:ascii="黑体" w:eastAsia="黑体" w:hAnsi="黑体" w:hint="eastAsia"/>
        <w:sz w:val="21"/>
        <w:szCs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7FB57"/>
    <w:multiLevelType w:val="singleLevel"/>
    <w:tmpl w:val="B717FB57"/>
    <w:lvl w:ilvl="0">
      <w:start w:val="1"/>
      <w:numFmt w:val="chineseCounting"/>
      <w:suff w:val="nothing"/>
      <w:lvlText w:val="%1、"/>
      <w:lvlJc w:val="left"/>
      <w:pPr>
        <w:ind w:left="728" w:firstLine="0"/>
      </w:pPr>
      <w:rPr>
        <w:rFonts w:hint="eastAsia"/>
      </w:rPr>
    </w:lvl>
  </w:abstractNum>
  <w:abstractNum w:abstractNumId="1">
    <w:nsid w:val="EFEF5872"/>
    <w:multiLevelType w:val="singleLevel"/>
    <w:tmpl w:val="EFEF5872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1AB9343"/>
    <w:multiLevelType w:val="singleLevel"/>
    <w:tmpl w:val="01AB93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9F1B2A4"/>
    <w:multiLevelType w:val="singleLevel"/>
    <w:tmpl w:val="19F1B2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7DBC4D1"/>
    <w:multiLevelType w:val="singleLevel"/>
    <w:tmpl w:val="47DBC4D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95BBE83"/>
    <w:multiLevelType w:val="singleLevel"/>
    <w:tmpl w:val="495BBE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03EFECB"/>
    <w:multiLevelType w:val="singleLevel"/>
    <w:tmpl w:val="603EFEC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2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B4B2290"/>
    <w:rsid w:val="000138C6"/>
    <w:rsid w:val="00017302"/>
    <w:rsid w:val="000241F4"/>
    <w:rsid w:val="00055273"/>
    <w:rsid w:val="000675E2"/>
    <w:rsid w:val="00072560"/>
    <w:rsid w:val="00096879"/>
    <w:rsid w:val="000A105C"/>
    <w:rsid w:val="000A1B1A"/>
    <w:rsid w:val="000A5C68"/>
    <w:rsid w:val="000A7E2F"/>
    <w:rsid w:val="000F0848"/>
    <w:rsid w:val="00125461"/>
    <w:rsid w:val="00154719"/>
    <w:rsid w:val="0015610C"/>
    <w:rsid w:val="001752BA"/>
    <w:rsid w:val="0019493C"/>
    <w:rsid w:val="001B6653"/>
    <w:rsid w:val="001E5CDF"/>
    <w:rsid w:val="00204AF1"/>
    <w:rsid w:val="002371F8"/>
    <w:rsid w:val="002543F7"/>
    <w:rsid w:val="00286BE3"/>
    <w:rsid w:val="00286FDE"/>
    <w:rsid w:val="00287764"/>
    <w:rsid w:val="00294EA4"/>
    <w:rsid w:val="002B55B4"/>
    <w:rsid w:val="002C0F81"/>
    <w:rsid w:val="002E3F18"/>
    <w:rsid w:val="002E5AC9"/>
    <w:rsid w:val="00344A13"/>
    <w:rsid w:val="003669A9"/>
    <w:rsid w:val="003737FC"/>
    <w:rsid w:val="003A1A1B"/>
    <w:rsid w:val="003C539C"/>
    <w:rsid w:val="004356F5"/>
    <w:rsid w:val="00435E16"/>
    <w:rsid w:val="00444275"/>
    <w:rsid w:val="00444BDF"/>
    <w:rsid w:val="004516D0"/>
    <w:rsid w:val="004541FC"/>
    <w:rsid w:val="00455CC8"/>
    <w:rsid w:val="004936F3"/>
    <w:rsid w:val="00495B02"/>
    <w:rsid w:val="004A54F7"/>
    <w:rsid w:val="004B495E"/>
    <w:rsid w:val="004C0CCD"/>
    <w:rsid w:val="004C3A24"/>
    <w:rsid w:val="004C4BDC"/>
    <w:rsid w:val="0051370F"/>
    <w:rsid w:val="0051715E"/>
    <w:rsid w:val="00571E36"/>
    <w:rsid w:val="005875AF"/>
    <w:rsid w:val="005A19E1"/>
    <w:rsid w:val="005C6ED6"/>
    <w:rsid w:val="005E0044"/>
    <w:rsid w:val="00656AE8"/>
    <w:rsid w:val="00671041"/>
    <w:rsid w:val="00695D9B"/>
    <w:rsid w:val="00780FD3"/>
    <w:rsid w:val="00781C00"/>
    <w:rsid w:val="00851FB4"/>
    <w:rsid w:val="008528CE"/>
    <w:rsid w:val="0087714B"/>
    <w:rsid w:val="00883720"/>
    <w:rsid w:val="00887CBC"/>
    <w:rsid w:val="00895D7A"/>
    <w:rsid w:val="008B4AEA"/>
    <w:rsid w:val="008C1B9E"/>
    <w:rsid w:val="008F5EF6"/>
    <w:rsid w:val="008F7507"/>
    <w:rsid w:val="00937B5C"/>
    <w:rsid w:val="00954314"/>
    <w:rsid w:val="00973EA4"/>
    <w:rsid w:val="009C4F65"/>
    <w:rsid w:val="009D129A"/>
    <w:rsid w:val="00A124A1"/>
    <w:rsid w:val="00A27318"/>
    <w:rsid w:val="00A35403"/>
    <w:rsid w:val="00A80571"/>
    <w:rsid w:val="00A92B9C"/>
    <w:rsid w:val="00AA0D0B"/>
    <w:rsid w:val="00AE197F"/>
    <w:rsid w:val="00AF7480"/>
    <w:rsid w:val="00B65AB5"/>
    <w:rsid w:val="00BA0E96"/>
    <w:rsid w:val="00BE6409"/>
    <w:rsid w:val="00C04AF8"/>
    <w:rsid w:val="00C31E7B"/>
    <w:rsid w:val="00C337F6"/>
    <w:rsid w:val="00C87213"/>
    <w:rsid w:val="00CA61D9"/>
    <w:rsid w:val="00CD34C9"/>
    <w:rsid w:val="00D16EAA"/>
    <w:rsid w:val="00D36324"/>
    <w:rsid w:val="00D53E8D"/>
    <w:rsid w:val="00D96E54"/>
    <w:rsid w:val="00E75499"/>
    <w:rsid w:val="00EA38E7"/>
    <w:rsid w:val="00EA494A"/>
    <w:rsid w:val="00EE4D22"/>
    <w:rsid w:val="00EF740E"/>
    <w:rsid w:val="00F77BF5"/>
    <w:rsid w:val="00FC72D6"/>
    <w:rsid w:val="00FE40B4"/>
    <w:rsid w:val="5B4B2290"/>
    <w:rsid w:val="6136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E7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31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C3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31E7B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C31E7B"/>
    <w:rPr>
      <w:b/>
    </w:rPr>
  </w:style>
  <w:style w:type="character" w:styleId="a7">
    <w:name w:val="Hyperlink"/>
    <w:basedOn w:val="a0"/>
    <w:rsid w:val="00C31E7B"/>
    <w:rPr>
      <w:color w:val="0000FF"/>
      <w:u w:val="single"/>
    </w:rPr>
  </w:style>
  <w:style w:type="paragraph" w:styleId="a8">
    <w:name w:val="Balloon Text"/>
    <w:basedOn w:val="a"/>
    <w:link w:val="Char"/>
    <w:rsid w:val="000675E2"/>
    <w:rPr>
      <w:sz w:val="18"/>
      <w:szCs w:val="18"/>
    </w:rPr>
  </w:style>
  <w:style w:type="character" w:customStyle="1" w:styleId="Char">
    <w:name w:val="批注框文本 Char"/>
    <w:basedOn w:val="a0"/>
    <w:link w:val="a8"/>
    <w:rsid w:val="000675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Date"/>
    <w:basedOn w:val="a"/>
    <w:next w:val="a"/>
    <w:link w:val="Char0"/>
    <w:rsid w:val="00287764"/>
    <w:pPr>
      <w:ind w:leftChars="2500" w:left="100"/>
    </w:pPr>
  </w:style>
  <w:style w:type="character" w:customStyle="1" w:styleId="Char0">
    <w:name w:val="日期 Char"/>
    <w:basedOn w:val="a0"/>
    <w:link w:val="a9"/>
    <w:rsid w:val="00287764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4206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850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00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2636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534498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287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3685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5632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8971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638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3960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72504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9113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4812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197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039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205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8044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4383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358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12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6887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1412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7980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3299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911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9236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945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7998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9510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025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1956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1305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2041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310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  <w:div w:id="2084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3396">
              <w:marLeft w:val="0"/>
              <w:marRight w:val="0"/>
              <w:marTop w:val="0"/>
              <w:marBottom w:val="0"/>
              <w:divBdr>
                <w:top w:val="single" w:sz="6" w:space="31" w:color="D6D6D6"/>
                <w:left w:val="single" w:sz="6" w:space="31" w:color="D6D6D6"/>
                <w:bottom w:val="single" w:sz="6" w:space="31" w:color="D6D6D6"/>
                <w:right w:val="single" w:sz="6" w:space="31" w:color="D6D6D6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22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emmmm</dc:creator>
  <cp:lastModifiedBy>Administrator</cp:lastModifiedBy>
  <cp:revision>167</cp:revision>
  <dcterms:created xsi:type="dcterms:W3CDTF">2021-08-13T02:46:00Z</dcterms:created>
  <dcterms:modified xsi:type="dcterms:W3CDTF">2021-11-27T03:26:00Z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