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肥政字〔2019〕13号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肥城市人民政府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关于公布2019年第一批调整行政权力事项的通知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各镇人民政府、街道办事处，高新区、经开区，市政府各部门、各直属机构，市属以上驻肥有关单位：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为进一步深化“贴心代办,一次办好”改革,持续推进简政放权,促进经济社会持续健康发展,激发经济发展活力,根据《山东省行政权力清单动态管理办法》(鲁政办字〔2015〕8号)、《山东省人民政府关于取消下放一批省级行政许可等事项的通知》(鲁政发〔2018〕35号)和《泰安市人民政府关于公布2019年第一批调整市级行政权力事项的通知》(泰政字〔2019〕27号)有关要求,结合我市实际，市政府决定调整市级行政权力事项52项,其中，承接省政府和泰安市政府下放管理层级的行政权力事项2项,新增38项,取消12项(含证明事项1项)。现将调整情况予以公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各有关部门单位要认真做好衔接落实工作，及时调整行政许可事项目录、行政权力清单；要进一步落实监管责任，规范行政权力事项，优化办理流程，切实提高服务质量。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附件：1.肥城市承接省和泰安市政府下放管理层级的行政权力事项目录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  2.肥城市新增的行政权力事项目录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  3.肥城市取消的行政权力事项目录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"http://www.feicheng.gov.cn/module/download/downfile.jsp?classid=0&amp;filename=2148962dd8304258b01767dbe1ec2222.xlsx" </w:instrTex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2"/>
          <w:szCs w:val="22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31"/>
          <w:szCs w:val="31"/>
          <w:u w:val="none"/>
          <w:bdr w:val="none" w:color="auto" w:sz="0" w:space="0"/>
          <w:shd w:val="clear" w:fill="FFFFFF"/>
        </w:rPr>
        <w:t>附表.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31"/>
          <w:szCs w:val="31"/>
          <w:u w:val="none"/>
          <w:bdr w:val="none" w:color="auto" w:sz="0" w:space="0"/>
          <w:shd w:val="clear" w:fill="FFFFFF"/>
        </w:rPr>
        <w:t>xlsx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肥城市人民政府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2019年4月29日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肥城市人民政府办公室2019年4月29日印发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83EB4"/>
    <w:rsid w:val="4CB8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2020-12-24T02:55:00Z</dcterms:created>
  <dc:creator>emmmm</dc:creator>
  <cp:lastModifiedBy>emmmm</cp:lastModifiedBy>
  <dcterms:modified xsi:type="dcterms:W3CDTF">2020-12-24T02:56:12Z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