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3FF2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市十九届人大</w:t>
      </w:r>
    </w:p>
    <w:p w14:paraId="7242460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四次会议文件</w:t>
      </w:r>
    </w:p>
    <w:p w14:paraId="4E341F5A">
      <w:pPr>
        <w:keepNext w:val="0"/>
        <w:keepLines w:val="0"/>
        <w:pageBreakBefore w:val="0"/>
        <w:kinsoku/>
        <w:wordWrap/>
        <w:overflowPunct/>
        <w:topLinePunct w:val="0"/>
        <w:autoSpaceDE/>
        <w:autoSpaceDN/>
        <w:bidi w:val="0"/>
        <w:adjustRightInd w:val="0"/>
        <w:snapToGrid w:val="0"/>
        <w:spacing w:after="0" w:line="600" w:lineRule="exact"/>
        <w:jc w:val="center"/>
        <w:textAlignment w:val="auto"/>
        <w:rPr>
          <w:rFonts w:ascii="Times New Roman" w:hAnsi="Times New Roman" w:eastAsia="方正小标宋简体" w:cs="Times New Roman"/>
          <w:bCs/>
          <w:sz w:val="36"/>
          <w:szCs w:val="36"/>
          <w:highlight w:val="none"/>
        </w:rPr>
      </w:pPr>
    </w:p>
    <w:p w14:paraId="44C53B82">
      <w:pPr>
        <w:keepNext w:val="0"/>
        <w:keepLines w:val="0"/>
        <w:pageBreakBefore w:val="0"/>
        <w:widowControl w:val="0"/>
        <w:kinsoku/>
        <w:wordWrap/>
        <w:overflowPunct/>
        <w:topLinePunct w:val="0"/>
        <w:autoSpaceDE/>
        <w:autoSpaceDN/>
        <w:adjustRightInd w:val="0"/>
        <w:snapToGrid w:val="0"/>
        <w:spacing w:after="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highlight w:val="none"/>
          <w:lang w:val="en-US" w:eastAsia="zh-CN"/>
        </w:rPr>
        <w:t>关于肥城市2024年国民经济和社会发展计划执行情况与2025年计划草案</w:t>
      </w:r>
      <w:r>
        <w:rPr>
          <w:rFonts w:ascii="Times New Roman" w:hAnsi="Times New Roman" w:eastAsia="方正小标宋简体" w:cs="Times New Roman"/>
          <w:bCs/>
          <w:sz w:val="44"/>
          <w:szCs w:val="44"/>
          <w:highlight w:val="none"/>
          <w:lang w:val="en-US" w:eastAsia="zh-CN" w:bidi="ar-SA"/>
        </w:rPr>
        <w:t>的</w:t>
      </w:r>
      <w:r>
        <w:rPr>
          <w:rFonts w:ascii="Times New Roman" w:hAnsi="Times New Roman" w:eastAsia="方正小标宋简体" w:cs="Times New Roman"/>
          <w:bCs/>
          <w:sz w:val="44"/>
          <w:szCs w:val="44"/>
          <w:highlight w:val="none"/>
        </w:rPr>
        <w:t>报</w:t>
      </w:r>
      <w:r>
        <w:rPr>
          <w:rFonts w:ascii="Times New Roman" w:hAnsi="Times New Roman" w:eastAsia="方正小标宋简体" w:cs="Times New Roman"/>
          <w:bCs/>
          <w:sz w:val="44"/>
          <w:szCs w:val="44"/>
          <w:highlight w:val="none"/>
          <w:lang w:eastAsia="zh-CN"/>
        </w:rPr>
        <w:t>告</w:t>
      </w:r>
    </w:p>
    <w:p w14:paraId="7FCC48D8">
      <w:pPr>
        <w:keepNext w:val="0"/>
        <w:keepLines w:val="0"/>
        <w:pageBreakBefore w:val="0"/>
        <w:widowControl w:val="0"/>
        <w:kinsoku/>
        <w:wordWrap/>
        <w:overflowPunct/>
        <w:topLinePunct w:val="0"/>
        <w:autoSpaceDE/>
        <w:autoSpaceDN/>
        <w:adjustRightInd w:val="0"/>
        <w:snapToGrid w:val="0"/>
        <w:jc w:val="center"/>
        <w:rPr>
          <w:rFonts w:ascii="Times New Roman" w:hAnsi="Times New Roman" w:eastAsia="楷体_GB2312" w:cs="Times New Roman"/>
          <w:b/>
          <w:bCs/>
          <w:color w:val="auto"/>
          <w:sz w:val="32"/>
          <w:szCs w:val="32"/>
          <w:highlight w:val="none"/>
          <w:shd w:val="clear" w:color="auto" w:fill="auto"/>
        </w:rPr>
      </w:pPr>
      <w:r>
        <w:rPr>
          <w:rFonts w:ascii="Times New Roman" w:hAnsi="Times New Roman" w:eastAsia="楷体_GB2312" w:cs="Times New Roman"/>
          <w:b/>
          <w:bCs/>
          <w:kern w:val="0"/>
          <w:sz w:val="32"/>
          <w:szCs w:val="32"/>
        </w:rPr>
        <w:t>——</w:t>
      </w:r>
      <w:r>
        <w:rPr>
          <w:rFonts w:ascii="Times New Roman" w:hAnsi="Times New Roman" w:eastAsia="楷体_GB2312" w:cs="Times New Roman"/>
          <w:b/>
          <w:bCs/>
          <w:spacing w:val="17"/>
          <w:kern w:val="0"/>
          <w:sz w:val="32"/>
          <w:szCs w:val="32"/>
          <w:shd w:val="clear" w:color="auto" w:fill="FFFFFF"/>
        </w:rPr>
        <w:t>202</w:t>
      </w:r>
      <w:r>
        <w:rPr>
          <w:rFonts w:ascii="Times New Roman" w:hAnsi="Times New Roman" w:eastAsia="楷体_GB2312" w:cs="Times New Roman"/>
          <w:b/>
          <w:bCs/>
          <w:spacing w:val="17"/>
          <w:kern w:val="0"/>
          <w:sz w:val="32"/>
          <w:szCs w:val="32"/>
          <w:shd w:val="clear" w:color="auto" w:fill="FFFFFF"/>
          <w:lang w:val="en-US" w:eastAsia="zh-CN"/>
        </w:rPr>
        <w:t>5</w:t>
      </w:r>
      <w:r>
        <w:rPr>
          <w:rFonts w:ascii="Times New Roman" w:hAnsi="Times New Roman" w:eastAsia="楷体_GB2312" w:cs="Times New Roman"/>
          <w:b/>
          <w:bCs/>
          <w:spacing w:val="17"/>
          <w:kern w:val="0"/>
          <w:sz w:val="32"/>
          <w:szCs w:val="32"/>
          <w:shd w:val="clear" w:color="auto" w:fill="FFFFFF"/>
        </w:rPr>
        <w:t>年</w:t>
      </w:r>
      <w:r>
        <w:rPr>
          <w:rFonts w:ascii="Times New Roman" w:hAnsi="Times New Roman" w:eastAsia="楷体_GB2312" w:cs="Times New Roman"/>
          <w:b/>
          <w:bCs/>
          <w:spacing w:val="17"/>
          <w:kern w:val="0"/>
          <w:sz w:val="32"/>
          <w:szCs w:val="32"/>
          <w:shd w:val="clear" w:color="auto" w:fill="FFFFFF"/>
          <w:lang w:val="en-US" w:eastAsia="zh-CN"/>
        </w:rPr>
        <w:t>2</w:t>
      </w:r>
      <w:r>
        <w:rPr>
          <w:rFonts w:ascii="Times New Roman" w:hAnsi="Times New Roman" w:eastAsia="楷体_GB2312" w:cs="Times New Roman"/>
          <w:b/>
          <w:bCs/>
          <w:spacing w:val="17"/>
          <w:kern w:val="0"/>
          <w:sz w:val="32"/>
          <w:szCs w:val="32"/>
          <w:shd w:val="clear" w:color="auto" w:fill="FFFFFF"/>
        </w:rPr>
        <w:t>月</w:t>
      </w:r>
      <w:r>
        <w:rPr>
          <w:rFonts w:ascii="Times New Roman" w:hAnsi="Times New Roman" w:eastAsia="楷体_GB2312" w:cs="Times New Roman"/>
          <w:b/>
          <w:bCs/>
          <w:spacing w:val="17"/>
          <w:kern w:val="0"/>
          <w:sz w:val="32"/>
          <w:szCs w:val="32"/>
          <w:shd w:val="clear" w:color="auto" w:fill="FFFFFF"/>
          <w:lang w:val="en-US" w:eastAsia="zh-CN"/>
        </w:rPr>
        <w:t>9</w:t>
      </w:r>
      <w:r>
        <w:rPr>
          <w:rFonts w:ascii="Times New Roman" w:hAnsi="Times New Roman" w:eastAsia="楷体_GB2312" w:cs="Times New Roman"/>
          <w:b/>
          <w:bCs/>
          <w:spacing w:val="17"/>
          <w:kern w:val="0"/>
          <w:sz w:val="32"/>
          <w:szCs w:val="32"/>
          <w:shd w:val="clear" w:color="auto" w:fill="FFFFFF"/>
        </w:rPr>
        <w:t>日在肥城市</w:t>
      </w:r>
      <w:r>
        <w:rPr>
          <w:rFonts w:ascii="Times New Roman" w:hAnsi="Times New Roman" w:eastAsia="楷体_GB2312" w:cs="Times New Roman"/>
          <w:b/>
          <w:bCs/>
          <w:color w:val="auto"/>
          <w:sz w:val="32"/>
          <w:szCs w:val="32"/>
          <w:highlight w:val="none"/>
          <w:shd w:val="clear" w:color="auto" w:fill="auto"/>
        </w:rPr>
        <w:t>第十</w:t>
      </w:r>
      <w:r>
        <w:rPr>
          <w:rFonts w:ascii="Times New Roman" w:hAnsi="Times New Roman" w:eastAsia="楷体_GB2312" w:cs="Times New Roman"/>
          <w:b/>
          <w:bCs/>
          <w:color w:val="auto"/>
          <w:sz w:val="32"/>
          <w:szCs w:val="32"/>
          <w:highlight w:val="none"/>
          <w:shd w:val="clear" w:color="auto" w:fill="auto"/>
          <w:lang w:eastAsia="zh-CN"/>
        </w:rPr>
        <w:t>九</w:t>
      </w:r>
      <w:r>
        <w:rPr>
          <w:rFonts w:ascii="Times New Roman" w:hAnsi="Times New Roman" w:eastAsia="楷体_GB2312" w:cs="Times New Roman"/>
          <w:b/>
          <w:bCs/>
          <w:color w:val="auto"/>
          <w:sz w:val="32"/>
          <w:szCs w:val="32"/>
          <w:highlight w:val="none"/>
          <w:shd w:val="clear" w:color="auto" w:fill="auto"/>
        </w:rPr>
        <w:t>届</w:t>
      </w:r>
    </w:p>
    <w:p w14:paraId="63931DA2">
      <w:pPr>
        <w:keepNext w:val="0"/>
        <w:keepLines w:val="0"/>
        <w:pageBreakBefore w:val="0"/>
        <w:widowControl w:val="0"/>
        <w:kinsoku/>
        <w:wordWrap/>
        <w:overflowPunct/>
        <w:topLinePunct w:val="0"/>
        <w:autoSpaceDE/>
        <w:autoSpaceDN/>
        <w:adjustRightInd w:val="0"/>
        <w:snapToGrid w:val="0"/>
        <w:jc w:val="center"/>
        <w:rPr>
          <w:rFonts w:ascii="Times New Roman" w:hAnsi="Times New Roman" w:eastAsia="楷体_GB2312" w:cs="Times New Roman"/>
          <w:b/>
          <w:bCs/>
          <w:spacing w:val="17"/>
          <w:kern w:val="0"/>
          <w:sz w:val="32"/>
          <w:szCs w:val="32"/>
          <w:shd w:val="clear" w:color="auto" w:fill="FFFFFF"/>
        </w:rPr>
      </w:pPr>
      <w:r>
        <w:rPr>
          <w:rFonts w:ascii="Times New Roman" w:hAnsi="Times New Roman" w:eastAsia="楷体_GB2312" w:cs="Times New Roman"/>
          <w:b/>
          <w:bCs/>
          <w:color w:val="auto"/>
          <w:sz w:val="32"/>
          <w:szCs w:val="32"/>
          <w:highlight w:val="none"/>
          <w:shd w:val="clear" w:color="auto" w:fill="auto"/>
        </w:rPr>
        <w:t>人民代表大会第</w:t>
      </w:r>
      <w:r>
        <w:rPr>
          <w:rFonts w:ascii="Times New Roman" w:hAnsi="Times New Roman" w:eastAsia="楷体_GB2312" w:cs="Times New Roman"/>
          <w:b/>
          <w:bCs/>
          <w:color w:val="auto"/>
          <w:sz w:val="32"/>
          <w:szCs w:val="32"/>
          <w:highlight w:val="none"/>
          <w:shd w:val="clear" w:color="auto" w:fill="auto"/>
          <w:lang w:eastAsia="zh-CN"/>
        </w:rPr>
        <w:t>四</w:t>
      </w:r>
      <w:r>
        <w:rPr>
          <w:rFonts w:ascii="Times New Roman" w:hAnsi="Times New Roman" w:eastAsia="楷体_GB2312" w:cs="Times New Roman"/>
          <w:b/>
          <w:bCs/>
          <w:color w:val="auto"/>
          <w:sz w:val="32"/>
          <w:szCs w:val="32"/>
          <w:highlight w:val="none"/>
          <w:shd w:val="clear" w:color="auto" w:fill="auto"/>
        </w:rPr>
        <w:t>次会议上</w:t>
      </w:r>
    </w:p>
    <w:p w14:paraId="2D8F4BB7">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Times New Roman" w:hAnsi="Times New Roman" w:eastAsia="仿宋" w:cs="Times New Roman"/>
          <w:b/>
          <w:bCs/>
          <w:sz w:val="32"/>
          <w:szCs w:val="32"/>
          <w:lang w:val="en-US" w:eastAsia="zh-CN"/>
        </w:rPr>
      </w:pPr>
      <w:r>
        <w:rPr>
          <w:rFonts w:ascii="Times New Roman" w:hAnsi="Times New Roman" w:eastAsia="楷体_GB2312" w:cs="Times New Roman"/>
          <w:b/>
          <w:bCs/>
          <w:spacing w:val="17"/>
          <w:kern w:val="0"/>
          <w:sz w:val="32"/>
          <w:szCs w:val="32"/>
          <w:shd w:val="clear" w:color="auto" w:fill="FFFFFF"/>
          <w:lang w:eastAsia="zh-CN"/>
        </w:rPr>
        <w:t>肥城</w:t>
      </w:r>
      <w:r>
        <w:rPr>
          <w:rFonts w:ascii="Times New Roman" w:hAnsi="Times New Roman" w:eastAsia="楷体_GB2312" w:cs="Times New Roman"/>
          <w:b/>
          <w:bCs/>
          <w:spacing w:val="17"/>
          <w:kern w:val="0"/>
          <w:sz w:val="32"/>
          <w:szCs w:val="32"/>
          <w:shd w:val="clear" w:color="auto" w:fill="FFFFFF"/>
        </w:rPr>
        <w:t>市发展和改革局局长  于辉</w:t>
      </w:r>
    </w:p>
    <w:p w14:paraId="720D2406">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z w:val="32"/>
          <w:szCs w:val="32"/>
          <w:shd w:val="clear" w:color="auto" w:fill="FFFFFF"/>
        </w:rPr>
      </w:pPr>
    </w:p>
    <w:p w14:paraId="6515471E">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各位代表：</w:t>
      </w:r>
    </w:p>
    <w:p w14:paraId="351240E7">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仿宋_GB2312" w:cs="Times New Roman"/>
          <w:sz w:val="32"/>
          <w:szCs w:val="32"/>
          <w:shd w:val="clear" w:color="auto" w:fill="FFFFFF"/>
          <w:lang w:eastAsia="zh-CN"/>
        </w:rPr>
      </w:pPr>
      <w:r>
        <w:rPr>
          <w:rFonts w:ascii="Times New Roman" w:hAnsi="Times New Roman" w:eastAsia="仿宋_GB2312" w:cs="Times New Roman"/>
          <w:sz w:val="32"/>
          <w:szCs w:val="32"/>
          <w:shd w:val="clear" w:color="auto" w:fill="FFFFFF"/>
        </w:rPr>
        <w:t>受市政府委托，</w:t>
      </w:r>
      <w:r>
        <w:rPr>
          <w:rFonts w:ascii="Times New Roman" w:hAnsi="Times New Roman" w:eastAsia="仿宋_GB2312" w:cs="Times New Roman"/>
          <w:sz w:val="32"/>
          <w:szCs w:val="32"/>
          <w:shd w:val="clear" w:color="auto" w:fill="FFFFFF"/>
          <w:lang w:eastAsia="zh-CN"/>
        </w:rPr>
        <w:t>现将</w:t>
      </w:r>
      <w:r>
        <w:rPr>
          <w:rFonts w:ascii="Times New Roman" w:hAnsi="Times New Roman" w:eastAsia="仿宋_GB2312" w:cs="Times New Roman"/>
          <w:sz w:val="32"/>
          <w:szCs w:val="32"/>
          <w:shd w:val="clear" w:color="auto" w:fill="FFFFFF"/>
        </w:rPr>
        <w:t>肥城市202</w:t>
      </w:r>
      <w:r>
        <w:rPr>
          <w:rFonts w:ascii="Times New Roman" w:hAnsi="Times New Roman" w:eastAsia="仿宋_GB2312" w:cs="Times New Roman"/>
          <w:sz w:val="32"/>
          <w:szCs w:val="32"/>
          <w:shd w:val="clear" w:color="auto" w:fill="FFFFFF"/>
          <w:lang w:val="en-US" w:eastAsia="zh-CN"/>
        </w:rPr>
        <w:t>4</w:t>
      </w:r>
      <w:r>
        <w:rPr>
          <w:rFonts w:ascii="Times New Roman" w:hAnsi="Times New Roman" w:eastAsia="仿宋_GB2312" w:cs="Times New Roman"/>
          <w:sz w:val="32"/>
          <w:szCs w:val="32"/>
          <w:shd w:val="clear" w:color="auto" w:fill="FFFFFF"/>
        </w:rPr>
        <w:t>年国民经济和社会发展计划执行情况与202</w:t>
      </w:r>
      <w:r>
        <w:rPr>
          <w:rFonts w:ascii="Times New Roman" w:hAnsi="Times New Roman" w:eastAsia="仿宋_GB2312" w:cs="Times New Roman"/>
          <w:sz w:val="32"/>
          <w:szCs w:val="32"/>
          <w:shd w:val="clear" w:color="auto" w:fill="FFFFFF"/>
          <w:lang w:val="en-US" w:eastAsia="zh-CN"/>
        </w:rPr>
        <w:t>5</w:t>
      </w:r>
      <w:r>
        <w:rPr>
          <w:rFonts w:ascii="Times New Roman" w:hAnsi="Times New Roman" w:eastAsia="仿宋_GB2312" w:cs="Times New Roman"/>
          <w:sz w:val="32"/>
          <w:szCs w:val="32"/>
          <w:shd w:val="clear" w:color="auto" w:fill="FFFFFF"/>
        </w:rPr>
        <w:t>年</w:t>
      </w:r>
      <w:r>
        <w:rPr>
          <w:rFonts w:ascii="Times New Roman" w:hAnsi="Times New Roman" w:eastAsia="仿宋_GB2312" w:cs="Times New Roman"/>
          <w:sz w:val="32"/>
          <w:szCs w:val="32"/>
          <w:shd w:val="clear" w:color="auto" w:fill="FFFFFF"/>
          <w:lang w:eastAsia="zh-CN"/>
        </w:rPr>
        <w:t>计划草案的安排意见</w:t>
      </w:r>
      <w:r>
        <w:rPr>
          <w:rFonts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lang w:eastAsia="zh-CN"/>
        </w:rPr>
        <w:t>提请市十九届人大第四次会议审议，并请市政协委员和其他列席人员提出意见。</w:t>
      </w:r>
    </w:p>
    <w:p w14:paraId="6368F6AC">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ascii="Times New Roman" w:hAnsi="Times New Roman" w:eastAsia="黑体" w:cs="Times New Roman"/>
          <w:sz w:val="32"/>
          <w:szCs w:val="32"/>
        </w:rPr>
      </w:pPr>
      <w:r>
        <w:rPr>
          <w:rStyle w:val="9"/>
          <w:rFonts w:ascii="Times New Roman" w:hAnsi="Times New Roman" w:eastAsia="黑体" w:cs="Times New Roman"/>
          <w:b w:val="0"/>
          <w:sz w:val="32"/>
          <w:szCs w:val="32"/>
          <w:shd w:val="clear" w:color="auto" w:fill="FFFFFF"/>
        </w:rPr>
        <w:t>一、202</w:t>
      </w:r>
      <w:r>
        <w:rPr>
          <w:rStyle w:val="9"/>
          <w:rFonts w:ascii="Times New Roman" w:hAnsi="Times New Roman" w:eastAsia="黑体" w:cs="Times New Roman"/>
          <w:b w:val="0"/>
          <w:sz w:val="32"/>
          <w:szCs w:val="32"/>
          <w:shd w:val="clear" w:color="auto" w:fill="FFFFFF"/>
          <w:lang w:val="en-US" w:eastAsia="zh-CN"/>
        </w:rPr>
        <w:t>4</w:t>
      </w:r>
      <w:r>
        <w:rPr>
          <w:rStyle w:val="9"/>
          <w:rFonts w:ascii="Times New Roman" w:hAnsi="Times New Roman" w:eastAsia="黑体" w:cs="Times New Roman"/>
          <w:b w:val="0"/>
          <w:sz w:val="32"/>
          <w:szCs w:val="32"/>
          <w:shd w:val="clear" w:color="auto" w:fill="FFFFFF"/>
        </w:rPr>
        <w:t>年国民经济和社会发展计划执行情况</w:t>
      </w:r>
    </w:p>
    <w:p w14:paraId="054216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shd w:val="clear" w:color="auto" w:fill="FFFFFF"/>
          <w:lang w:eastAsia="zh-CN"/>
        </w:rPr>
      </w:pPr>
      <w:r>
        <w:rPr>
          <w:rFonts w:ascii="Times New Roman" w:hAnsi="Times New Roman" w:eastAsia="仿宋_GB2312" w:cs="Times New Roman"/>
          <w:sz w:val="32"/>
          <w:szCs w:val="32"/>
        </w:rPr>
        <w:t>2024年，全市上下坚持以习近平新时代中国特色社会主义思想为指导，在市委、市政府的坚强领导下，在市人大、市政协的监督支持下，</w:t>
      </w:r>
      <w:r>
        <w:rPr>
          <w:rFonts w:ascii="Times New Roman" w:hAnsi="Times New Roman" w:eastAsia="仿宋_GB2312" w:cs="Times New Roman"/>
          <w:sz w:val="32"/>
          <w:szCs w:val="32"/>
          <w:shd w:val="clear" w:color="auto" w:fill="FFFFFF"/>
        </w:rPr>
        <w:t>牢牢把握高质量发展首要任务，</w:t>
      </w:r>
      <w:r>
        <w:rPr>
          <w:rFonts w:ascii="Times New Roman" w:hAnsi="Times New Roman" w:eastAsia="仿宋_GB2312" w:cs="Times New Roman"/>
          <w:b w:val="0"/>
          <w:bCs/>
          <w:color w:val="auto"/>
          <w:spacing w:val="0"/>
          <w:sz w:val="32"/>
          <w:szCs w:val="32"/>
          <w:highlight w:val="none"/>
          <w:shd w:val="clear" w:color="auto" w:fill="auto"/>
          <w:lang w:val="en-US" w:eastAsia="zh-CN"/>
        </w:rPr>
        <w:t>锚定“泰安当排头、全省争一流、全国创先进”目标定位，</w:t>
      </w:r>
      <w:r>
        <w:rPr>
          <w:rFonts w:ascii="Times New Roman" w:hAnsi="Times New Roman" w:eastAsia="仿宋_GB2312" w:cs="Times New Roman"/>
          <w:sz w:val="32"/>
          <w:szCs w:val="32"/>
          <w:shd w:val="clear" w:color="auto" w:fill="FFFFFF"/>
          <w:lang w:val="en-US" w:eastAsia="zh-CN"/>
        </w:rPr>
        <w:t>围绕</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“九大攻坚行动”凝心聚力</w:t>
      </w:r>
      <w:r>
        <w:rPr>
          <w:rFonts w:ascii="Times New Roman" w:hAnsi="Times New Roman" w:eastAsia="仿宋_GB2312" w:cs="Times New Roman"/>
          <w:sz w:val="32"/>
          <w:szCs w:val="32"/>
          <w:shd w:val="clear" w:color="auto" w:fill="FFFFFF"/>
          <w:lang w:val="en-US" w:eastAsia="zh-CN"/>
        </w:rPr>
        <w:t>、</w:t>
      </w:r>
      <w:r>
        <w:rPr>
          <w:rFonts w:ascii="Times New Roman" w:hAnsi="Times New Roman" w:eastAsia="仿宋_GB2312" w:cs="Times New Roman"/>
          <w:sz w:val="32"/>
          <w:szCs w:val="32"/>
          <w:shd w:val="clear" w:color="auto" w:fill="FFFFFF"/>
        </w:rPr>
        <w:t>砥砺奋进，</w:t>
      </w:r>
      <w:r>
        <w:rPr>
          <w:rFonts w:ascii="Times New Roman" w:hAnsi="Times New Roman" w:eastAsia="仿宋_GB2312" w:cs="Times New Roman"/>
          <w:sz w:val="32"/>
          <w:szCs w:val="32"/>
          <w:shd w:val="clear" w:color="auto" w:fill="FFFFFF"/>
          <w:lang w:val="en-US" w:eastAsia="zh-CN"/>
        </w:rPr>
        <w:t>全年</w:t>
      </w:r>
      <w:r>
        <w:rPr>
          <w:rFonts w:ascii="Times New Roman" w:hAnsi="Times New Roman" w:eastAsia="仿宋_GB2312" w:cs="Times New Roman"/>
          <w:sz w:val="32"/>
          <w:szCs w:val="32"/>
          <w:shd w:val="clear" w:color="auto" w:fill="FFFFFF"/>
        </w:rPr>
        <w:t>经济社会发展主要目标任务顺利完成</w:t>
      </w:r>
      <w:r>
        <w:rPr>
          <w:rFonts w:ascii="Times New Roman" w:hAnsi="Times New Roman" w:eastAsia="仿宋_GB2312" w:cs="Times New Roman"/>
          <w:sz w:val="32"/>
          <w:szCs w:val="32"/>
          <w:shd w:val="clear" w:color="auto" w:fill="FFFFFF"/>
          <w:lang w:eastAsia="zh-CN"/>
        </w:rPr>
        <w:t>。</w:t>
      </w:r>
    </w:p>
    <w:p w14:paraId="491BB93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color w:val="auto"/>
          <w:spacing w:val="0"/>
          <w:sz w:val="32"/>
          <w:szCs w:val="32"/>
          <w:highlight w:val="none"/>
          <w:shd w:val="clear" w:color="auto" w:fill="auto"/>
          <w:lang w:val="en-US" w:eastAsia="zh-CN"/>
        </w:rPr>
      </w:pPr>
      <w:r>
        <w:rPr>
          <w:rFonts w:ascii="Times New Roman" w:hAnsi="Times New Roman" w:eastAsia="楷体_GB2312" w:cs="Times New Roman"/>
          <w:b/>
          <w:bCs w:val="0"/>
          <w:snapToGrid w:val="0"/>
          <w:color w:val="auto"/>
          <w:spacing w:val="0"/>
          <w:kern w:val="0"/>
          <w:sz w:val="32"/>
          <w:szCs w:val="32"/>
          <w:highlight w:val="none"/>
          <w:shd w:val="clear" w:color="auto" w:fill="auto"/>
          <w:lang w:val="en-US" w:eastAsia="zh-CN"/>
        </w:rPr>
        <w:t>（一）坚持稳增长、提质效，县域经济持续向好。</w:t>
      </w:r>
      <w:r>
        <w:rPr>
          <w:rFonts w:ascii="Times New Roman" w:hAnsi="Times New Roman" w:eastAsia="仿宋_GB2312" w:cs="Times New Roman"/>
          <w:sz w:val="32"/>
          <w:szCs w:val="32"/>
          <w:shd w:val="clear" w:color="auto" w:fill="FFFFFF"/>
          <w:lang w:val="en-US" w:eastAsia="zh-CN"/>
        </w:rPr>
        <w:t>全面落实国家一揽子增量政策和省政府三批151项政策清单，深度开展</w:t>
      </w:r>
      <w:r>
        <w:rPr>
          <w:rFonts w:ascii="Times New Roman" w:hAnsi="Times New Roman" w:eastAsia="仿宋_GB2312" w:cs="Times New Roman"/>
          <w:sz w:val="32"/>
          <w:szCs w:val="32"/>
        </w:rPr>
        <w:t>经济运行形势</w:t>
      </w:r>
      <w:r>
        <w:rPr>
          <w:rFonts w:ascii="Times New Roman" w:hAnsi="Times New Roman" w:eastAsia="仿宋_GB2312" w:cs="Times New Roman"/>
          <w:sz w:val="32"/>
          <w:szCs w:val="32"/>
          <w:lang w:val="en-US" w:eastAsia="zh-CN"/>
        </w:rPr>
        <w:t>分析，</w:t>
      </w:r>
      <w:r>
        <w:rPr>
          <w:rFonts w:ascii="Times New Roman" w:hAnsi="Times New Roman" w:eastAsia="仿宋_GB2312" w:cs="Times New Roman"/>
          <w:sz w:val="32"/>
          <w:szCs w:val="32"/>
        </w:rPr>
        <w:t>靠前发力稳定经济增</w:t>
      </w:r>
      <w:r>
        <w:rPr>
          <w:rFonts w:ascii="Times New Roman" w:hAnsi="Times New Roman" w:eastAsia="仿宋_GB2312" w:cs="Times New Roman"/>
          <w:sz w:val="32"/>
          <w:szCs w:val="32"/>
          <w:shd w:val="clear" w:color="auto" w:fill="FFFFFF"/>
          <w:lang w:val="en-US" w:eastAsia="zh-CN"/>
        </w:rPr>
        <w:t>长，全年地区生产总值增长6.4%；</w:t>
      </w:r>
      <w:r>
        <w:rPr>
          <w:rFonts w:ascii="Times New Roman" w:hAnsi="Times New Roman" w:eastAsia="仿宋_GB2312" w:cs="Times New Roman"/>
          <w:sz w:val="32"/>
          <w:szCs w:val="32"/>
          <w:lang w:val="en-US" w:eastAsia="zh-CN"/>
        </w:rPr>
        <w:t>固定资产投</w:t>
      </w:r>
      <w:r>
        <w:rPr>
          <w:rFonts w:ascii="Times New Roman" w:hAnsi="Times New Roman" w:eastAsia="仿宋_GB2312" w:cs="Times New Roman"/>
          <w:sz w:val="32"/>
          <w:szCs w:val="32"/>
          <w:shd w:val="clear" w:color="auto" w:fill="FFFFFF"/>
          <w:lang w:val="en-US" w:eastAsia="zh-CN"/>
        </w:rPr>
        <w:t>资增长8.5%</w:t>
      </w:r>
      <w:r>
        <w:rPr>
          <w:rFonts w:ascii="Times New Roman" w:hAnsi="Times New Roman" w:eastAsia="仿宋_GB2312" w:cs="Times New Roman"/>
          <w:b w:val="0"/>
          <w:bCs w:val="0"/>
          <w:color w:val="auto"/>
          <w:spacing w:val="-6"/>
          <w:sz w:val="34"/>
          <w:szCs w:val="34"/>
          <w:lang w:val="en-US" w:eastAsia="zh-CN"/>
        </w:rPr>
        <w:t>；</w:t>
      </w:r>
      <w:r>
        <w:rPr>
          <w:rFonts w:ascii="Times New Roman" w:hAnsi="Times New Roman" w:eastAsia="仿宋_GB2312" w:cs="Times New Roman"/>
          <w:sz w:val="32"/>
          <w:szCs w:val="32"/>
          <w:shd w:val="clear" w:color="auto" w:fill="FFFFFF"/>
          <w:lang w:val="en-US" w:eastAsia="zh-CN"/>
        </w:rPr>
        <w:t>实现一般公共预算收入53.5亿元、税收收入45.3亿元，纳税过亿元企业达到17家；建筑业完成总产值1131亿元，增长8.7%，</w:t>
      </w:r>
      <w:r>
        <w:rPr>
          <w:rFonts w:ascii="Times New Roman" w:hAnsi="Times New Roman" w:eastAsia="仿宋_GB2312" w:cs="Times New Roman"/>
          <w:b w:val="0"/>
          <w:bCs/>
          <w:color w:val="auto"/>
          <w:spacing w:val="0"/>
          <w:sz w:val="32"/>
          <w:szCs w:val="32"/>
          <w:highlight w:val="none"/>
          <w:shd w:val="clear" w:color="auto" w:fill="auto"/>
          <w:lang w:val="en-US" w:eastAsia="zh-CN"/>
        </w:rPr>
        <w:t>成为泰安市首个县级千亿级产业集群。</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全年民生支出64.3亿元，占一般公共预算支出的82.4%。城镇和农村居民人均可支配收入分别增长4.8%、5.9%。</w:t>
      </w:r>
      <w:r>
        <w:rPr>
          <w:rFonts w:ascii="Times New Roman" w:hAnsi="Times New Roman" w:eastAsia="仿宋_GB2312" w:cs="Times New Roman"/>
          <w:b w:val="0"/>
          <w:bCs/>
          <w:color w:val="auto"/>
          <w:spacing w:val="0"/>
          <w:sz w:val="32"/>
          <w:szCs w:val="32"/>
          <w:highlight w:val="none"/>
          <w:shd w:val="clear" w:color="auto" w:fill="auto"/>
          <w:lang w:val="en-US" w:eastAsia="zh-CN"/>
        </w:rPr>
        <w:t>在县域经济基本竞争力百强县中，跃升至全国第57位、全省第7位，较上年度分别提高1个、2个位次。成功跻身</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工新智库“产业名县”</w:t>
      </w:r>
      <w:r>
        <w:rPr>
          <w:rFonts w:ascii="Times New Roman" w:hAnsi="Times New Roman" w:eastAsia="仿宋_GB2312" w:cs="Times New Roman"/>
          <w:color w:val="auto"/>
          <w:spacing w:val="0"/>
          <w:sz w:val="32"/>
          <w:szCs w:val="32"/>
          <w:highlight w:val="none"/>
          <w:shd w:val="clear" w:color="auto" w:fill="auto"/>
          <w:lang w:val="en-US" w:eastAsia="zh-CN"/>
        </w:rPr>
        <w:t>百强榜，荣膺“2024最具幸福感城市之美丽宜业之城”，获评全国城乡交通运输一体化示范县、全省科技创新强县等9项省级以上荣誉称号，举办中国锂业大会、新型储能高质量发展大会等一系列高层次会议。“一块田养老服务”“以盐穴储能产业为引领，发展新质生产力”等34项经验做法成为全国、全省典型。</w:t>
      </w:r>
    </w:p>
    <w:p w14:paraId="2E97508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color w:val="auto"/>
          <w:spacing w:val="0"/>
          <w:sz w:val="32"/>
          <w:szCs w:val="32"/>
          <w:highlight w:val="none"/>
          <w:u w:val="none"/>
          <w:shd w:val="clear" w:color="auto" w:fill="auto"/>
          <w:lang w:val="en-US" w:eastAsia="zh-CN"/>
        </w:rPr>
      </w:pPr>
      <w:r>
        <w:rPr>
          <w:rFonts w:ascii="Times New Roman" w:hAnsi="Times New Roman" w:eastAsia="楷体_GB2312" w:cs="Times New Roman"/>
          <w:b/>
          <w:bCs w:val="0"/>
          <w:snapToGrid w:val="0"/>
          <w:color w:val="auto"/>
          <w:spacing w:val="0"/>
          <w:kern w:val="0"/>
          <w:sz w:val="32"/>
          <w:szCs w:val="32"/>
          <w:highlight w:val="none"/>
          <w:shd w:val="clear" w:color="auto" w:fill="auto"/>
          <w:lang w:val="en-US" w:eastAsia="zh-CN"/>
        </w:rPr>
        <w:t>（二）坚持挖潜力、增动力，产业发展韧劲十足。</w:t>
      </w:r>
      <w:r>
        <w:rPr>
          <w:rFonts w:ascii="Times New Roman" w:hAnsi="Times New Roman" w:eastAsia="仿宋_GB2312" w:cs="Times New Roman"/>
          <w:color w:val="auto"/>
          <w:spacing w:val="0"/>
          <w:sz w:val="32"/>
          <w:szCs w:val="32"/>
          <w:highlight w:val="none"/>
          <w:shd w:val="clear" w:color="auto" w:fill="auto"/>
          <w:lang w:val="en-US" w:eastAsia="zh-CN"/>
        </w:rPr>
        <w:t>持续发挥新型工业化强市建设强大驱动力，不断推动产业集优成势</w:t>
      </w:r>
      <w:r>
        <w:rPr>
          <w:rFonts w:ascii="Times New Roman" w:hAnsi="Times New Roman" w:eastAsia="仿宋_GB2312" w:cs="Times New Roman"/>
          <w:sz w:val="32"/>
          <w:szCs w:val="32"/>
        </w:rPr>
        <w:t>。</w:t>
      </w:r>
      <w:r>
        <w:rPr>
          <w:rFonts w:ascii="Times New Roman" w:hAnsi="Times New Roman" w:eastAsia="仿宋_GB2312" w:cs="Times New Roman"/>
          <w:b/>
          <w:bCs w:val="0"/>
          <w:color w:val="auto"/>
          <w:spacing w:val="0"/>
          <w:sz w:val="32"/>
          <w:szCs w:val="32"/>
          <w:highlight w:val="none"/>
          <w:u w:val="none"/>
          <w:shd w:val="clear" w:color="auto" w:fill="auto"/>
          <w:lang w:val="en-US" w:eastAsia="zh-CN"/>
        </w:rPr>
        <w:t>工业经济稳进提质。</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新增规上工业企业34家，营收过亿元企业达到74家，规上工业增加值增长8.9%。石横特钢蝉联中国企业500强，瑞福锂业获评国家专精特新重点“小巨人”、全省新能源领域“头雁”企业，7家企业入选山东民营企业200强。新增省级制造业单项冠军企业2家、瞪羚企业4家、专精特新企业46家。</w:t>
      </w:r>
      <w:r>
        <w:rPr>
          <w:rFonts w:ascii="Times New Roman" w:hAnsi="Times New Roman" w:eastAsia="仿宋_GB2312" w:cs="Times New Roman"/>
          <w:b/>
          <w:bCs w:val="0"/>
          <w:color w:val="auto"/>
          <w:spacing w:val="0"/>
          <w:sz w:val="32"/>
          <w:szCs w:val="32"/>
          <w:highlight w:val="none"/>
          <w:u w:val="none"/>
          <w:shd w:val="clear" w:color="auto" w:fill="auto"/>
          <w:lang w:val="en-US" w:eastAsia="zh-CN"/>
        </w:rPr>
        <w:t>建安产业优势巩固。</w:t>
      </w:r>
      <w:r>
        <w:rPr>
          <w:rFonts w:ascii="Times New Roman" w:hAnsi="Times New Roman" w:eastAsia="仿宋_GB2312" w:cs="Times New Roman"/>
          <w:b w:val="0"/>
          <w:bCs/>
          <w:color w:val="auto"/>
          <w:spacing w:val="0"/>
          <w:sz w:val="32"/>
          <w:szCs w:val="32"/>
          <w:highlight w:val="none"/>
          <w:shd w:val="clear" w:color="auto" w:fill="auto"/>
          <w:lang w:val="en-US" w:eastAsia="zh-CN"/>
        </w:rPr>
        <w:t>高标准打造“一区一园”，</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新增“规上”企业10家、一级资质企业3家</w:t>
      </w:r>
      <w:r>
        <w:rPr>
          <w:rFonts w:ascii="Times New Roman" w:hAnsi="Times New Roman" w:eastAsia="仿宋_GB2312" w:cs="Times New Roman"/>
          <w:strike w:val="0"/>
          <w:dstrike w:val="0"/>
          <w:color w:val="auto"/>
          <w:spacing w:val="0"/>
          <w:sz w:val="32"/>
          <w:szCs w:val="32"/>
          <w:highlight w:val="none"/>
          <w:u w:val="none"/>
          <w:shd w:val="clear" w:color="auto" w:fill="auto"/>
          <w:lang w:val="en-US" w:eastAsia="zh-CN"/>
        </w:rPr>
        <w:t>，</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签约落地新型建材项目13个，</w:t>
      </w:r>
      <w:r>
        <w:rPr>
          <w:rFonts w:ascii="Times New Roman" w:hAnsi="Times New Roman" w:eastAsia="仿宋_GB2312" w:cs="Times New Roman"/>
          <w:color w:val="auto"/>
          <w:spacing w:val="0"/>
          <w:sz w:val="32"/>
          <w:szCs w:val="32"/>
          <w:highlight w:val="none"/>
          <w:u w:val="none"/>
          <w:shd w:val="clear" w:color="auto" w:fill="auto"/>
          <w:lang w:val="en-US" w:eastAsia="zh-CN"/>
        </w:rPr>
        <w:t>9家企业获评省级建筑业全链条龙头骨干企业</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，产值过10亿元、纳税过5000万元的建安企业分别达到</w:t>
      </w:r>
      <w:r>
        <w:rPr>
          <w:rFonts w:ascii="Times New Roman" w:hAnsi="Times New Roman" w:eastAsia="仿宋_GB2312" w:cs="Times New Roman"/>
          <w:color w:val="auto"/>
          <w:spacing w:val="0"/>
          <w:sz w:val="32"/>
          <w:szCs w:val="32"/>
          <w:highlight w:val="none"/>
          <w:shd w:val="clear" w:color="auto" w:fill="auto"/>
          <w:lang w:val="en-US" w:eastAsia="zh-CN"/>
        </w:rPr>
        <w:t>22家</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、19家，我市连续6年位居全省建筑业十强县榜首。</w:t>
      </w:r>
      <w:r>
        <w:rPr>
          <w:rFonts w:ascii="Times New Roman" w:hAnsi="Times New Roman" w:eastAsia="仿宋_GB2312" w:cs="Times New Roman"/>
          <w:b/>
          <w:bCs w:val="0"/>
          <w:color w:val="auto"/>
          <w:spacing w:val="0"/>
          <w:sz w:val="32"/>
          <w:szCs w:val="32"/>
          <w:highlight w:val="none"/>
          <w:u w:val="none"/>
          <w:shd w:val="clear" w:color="auto" w:fill="auto"/>
          <w:lang w:val="en-US" w:eastAsia="zh-CN"/>
        </w:rPr>
        <w:t>新兴产业加速起势。</w:t>
      </w:r>
      <w:r>
        <w:rPr>
          <w:rFonts w:hint="default" w:ascii="Times New Roman" w:hAnsi="Times New Roman" w:eastAsia="仿宋_GB2312" w:cs="Times New Roman"/>
          <w:b w:val="0"/>
          <w:bCs/>
          <w:color w:val="auto"/>
          <w:spacing w:val="0"/>
          <w:sz w:val="32"/>
          <w:szCs w:val="32"/>
          <w:highlight w:val="none"/>
          <w:u w:val="none"/>
          <w:shd w:val="clear" w:color="auto" w:fill="auto"/>
          <w:lang w:val="en-US" w:eastAsia="zh-CN"/>
        </w:rPr>
        <w:t>全球首款普鲁士蓝基钠离子电池正式交付，世界首条10GWh普鲁士蓝基钠离子电池生产线、首个万吨级单壁碳纳米管导电浆料项目快速推进</w:t>
      </w:r>
      <w:r>
        <w:rPr>
          <w:rFonts w:ascii="Times New Roman" w:hAnsi="Times New Roman" w:eastAsia="仿宋_GB2312" w:cs="Times New Roman"/>
          <w:color w:val="auto"/>
          <w:spacing w:val="0"/>
          <w:sz w:val="32"/>
          <w:szCs w:val="32"/>
          <w:highlight w:val="none"/>
          <w:u w:val="none"/>
          <w:shd w:val="clear" w:color="auto" w:fill="auto"/>
          <w:lang w:val="en-US" w:eastAsia="zh-CN"/>
        </w:rPr>
        <w:t>。</w:t>
      </w:r>
      <w:r>
        <w:rPr>
          <w:rFonts w:ascii="Times New Roman" w:hAnsi="Times New Roman" w:eastAsia="仿宋_GB2312" w:cs="Times New Roman"/>
          <w:b w:val="0"/>
          <w:bCs/>
          <w:color w:val="auto"/>
          <w:spacing w:val="0"/>
          <w:sz w:val="32"/>
          <w:szCs w:val="32"/>
          <w:highlight w:val="none"/>
          <w:shd w:val="clear" w:color="auto" w:fill="auto"/>
          <w:lang w:val="en-US" w:eastAsia="zh-CN"/>
        </w:rPr>
        <w:t>新型电池电极材料产业集群获评全省首批数字产业集群，入选省级“产业大脑”建设试点，41家企业入选省级数字经济“晨星工厂”</w:t>
      </w:r>
      <w:r>
        <w:rPr>
          <w:rFonts w:ascii="Times New Roman" w:hAnsi="Times New Roman" w:eastAsia="仿宋_GB2312" w:cs="Times New Roman"/>
          <w:color w:val="auto"/>
          <w:spacing w:val="0"/>
          <w:sz w:val="32"/>
          <w:szCs w:val="32"/>
          <w:highlight w:val="none"/>
          <w:u w:val="none"/>
          <w:shd w:val="clear" w:color="auto" w:fill="auto"/>
          <w:lang w:val="en-US" w:eastAsia="zh-CN"/>
        </w:rPr>
        <w:t>，科大讯飞智汇谷等27个数字经济项目加速落地</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w:t>
      </w:r>
      <w:r>
        <w:rPr>
          <w:rFonts w:hint="default" w:ascii="Times New Roman" w:hAnsi="Times New Roman" w:eastAsia="仿宋_GB2312" w:cs="Times New Roman"/>
          <w:b w:val="0"/>
          <w:bCs/>
          <w:color w:val="auto"/>
          <w:spacing w:val="0"/>
          <w:sz w:val="32"/>
          <w:szCs w:val="32"/>
          <w:highlight w:val="none"/>
          <w:u w:val="none"/>
          <w:shd w:val="clear" w:color="auto" w:fill="auto"/>
          <w:lang w:val="en-US" w:eastAsia="zh-CN"/>
        </w:rPr>
        <w:t>石横特钢零碳智慧中心建成投用</w:t>
      </w:r>
      <w:r>
        <w:rPr>
          <w:rFonts w:ascii="Times New Roman" w:hAnsi="Times New Roman" w:eastAsia="仿宋_GB2312" w:cs="Times New Roman"/>
          <w:color w:val="auto"/>
          <w:spacing w:val="0"/>
          <w:sz w:val="32"/>
          <w:szCs w:val="32"/>
          <w:highlight w:val="none"/>
          <w:u w:val="none"/>
          <w:shd w:val="clear" w:color="auto" w:fill="auto"/>
          <w:lang w:val="en-US" w:eastAsia="zh-CN"/>
        </w:rPr>
        <w:t>。</w:t>
      </w:r>
      <w:r>
        <w:rPr>
          <w:rFonts w:ascii="Times New Roman" w:hAnsi="Times New Roman" w:eastAsia="仿宋_GB2312" w:cs="Times New Roman"/>
          <w:b/>
          <w:bCs w:val="0"/>
          <w:color w:val="auto"/>
          <w:spacing w:val="0"/>
          <w:sz w:val="32"/>
          <w:szCs w:val="32"/>
          <w:highlight w:val="none"/>
          <w:u w:val="none"/>
          <w:shd w:val="clear" w:color="auto" w:fill="auto"/>
          <w:lang w:val="en-US" w:eastAsia="zh-CN"/>
        </w:rPr>
        <w:t>未来产业势头强劲。</w:t>
      </w:r>
      <w:r>
        <w:rPr>
          <w:rFonts w:ascii="Times New Roman" w:hAnsi="Times New Roman" w:eastAsia="仿宋_GB2312" w:cs="Times New Roman"/>
          <w:color w:val="auto"/>
          <w:spacing w:val="0"/>
          <w:sz w:val="32"/>
          <w:szCs w:val="32"/>
          <w:highlight w:val="none"/>
          <w:u w:val="none"/>
          <w:shd w:val="clear" w:color="auto" w:fill="auto"/>
          <w:lang w:val="en-US" w:eastAsia="zh-CN"/>
        </w:rPr>
        <w:t>中储国能300MW入选国家新型储能试点示范，中能建350MW、中电建2×300MW、首航高科100MW二氧化碳熔盐储能</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项目</w:t>
      </w:r>
      <w:r>
        <w:rPr>
          <w:rFonts w:ascii="Times New Roman" w:hAnsi="Times New Roman" w:eastAsia="仿宋_GB2312" w:cs="Times New Roman"/>
          <w:color w:val="auto"/>
          <w:spacing w:val="0"/>
          <w:sz w:val="32"/>
          <w:szCs w:val="32"/>
          <w:highlight w:val="none"/>
          <w:u w:val="none"/>
          <w:shd w:val="clear" w:color="auto" w:fill="auto"/>
          <w:lang w:val="en-US" w:eastAsia="zh-CN"/>
        </w:rPr>
        <w:t>开工建设，中石油鲁银26亿立方盐穴储气库项目加速推进，中储国能660MW、山高集团660MW、水发集团600MW盐穴储能项目成功签约，全产业链重点推进项目达到22个、总投资340亿元，全部建成后装机规模可达3480MW、成为全国最大的盐穴储能示范应用基地。</w:t>
      </w:r>
      <w:r>
        <w:rPr>
          <w:rFonts w:ascii="Times New Roman" w:hAnsi="Times New Roman" w:eastAsia="仿宋_GB2312" w:cs="Times New Roman"/>
          <w:b/>
          <w:bCs w:val="0"/>
          <w:color w:val="auto"/>
          <w:spacing w:val="0"/>
          <w:sz w:val="32"/>
          <w:szCs w:val="32"/>
          <w:highlight w:val="none"/>
          <w:u w:val="none"/>
          <w:shd w:val="clear" w:color="auto" w:fill="auto"/>
          <w:lang w:val="en-US" w:eastAsia="zh-CN"/>
        </w:rPr>
        <w:t>服务业发展量质齐升。</w:t>
      </w:r>
      <w:r>
        <w:rPr>
          <w:rFonts w:ascii="Times New Roman" w:hAnsi="Times New Roman" w:eastAsia="仿宋_GB2312" w:cs="Times New Roman"/>
          <w:color w:val="auto"/>
          <w:spacing w:val="0"/>
          <w:sz w:val="32"/>
          <w:szCs w:val="32"/>
          <w:highlight w:val="none"/>
          <w:u w:val="none"/>
          <w:shd w:val="clear" w:color="auto" w:fill="auto"/>
          <w:lang w:val="en-US" w:eastAsia="zh-CN"/>
        </w:rPr>
        <w:t>新增规上服务业企业32家，营业收入增长</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6.2</w:t>
      </w:r>
      <w:r>
        <w:rPr>
          <w:rFonts w:ascii="Times New Roman" w:hAnsi="Times New Roman" w:eastAsia="仿宋_GB2312" w:cs="Times New Roman"/>
          <w:color w:val="auto"/>
          <w:spacing w:val="0"/>
          <w:sz w:val="32"/>
          <w:szCs w:val="32"/>
          <w:highlight w:val="none"/>
          <w:u w:val="none"/>
          <w:shd w:val="clear" w:color="auto" w:fill="auto"/>
          <w:lang w:val="en-US" w:eastAsia="zh-CN"/>
        </w:rPr>
        <w:t>%。15个项目纳入省现代服务业重点项目库。市人力资源服务产业集聚区获评省现代服务业集聚区，联谊工程塑料入选省级先进制造业和现代服务业深度融合发展试点企业。新增限上贸易业单位130家，社会消费品零售总额预计增长7.</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1</w:t>
      </w:r>
      <w:r>
        <w:rPr>
          <w:rFonts w:ascii="Times New Roman" w:hAnsi="Times New Roman" w:eastAsia="仿宋_GB2312" w:cs="Times New Roman"/>
          <w:color w:val="auto"/>
          <w:spacing w:val="0"/>
          <w:sz w:val="32"/>
          <w:szCs w:val="32"/>
          <w:highlight w:val="none"/>
          <w:u w:val="none"/>
          <w:shd w:val="clear" w:color="auto" w:fill="auto"/>
          <w:lang w:val="en-US" w:eastAsia="zh-CN"/>
        </w:rPr>
        <w:t>%。“泰畅通”网络货运平台实现营收1.</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6</w:t>
      </w:r>
      <w:r>
        <w:rPr>
          <w:rFonts w:ascii="Times New Roman" w:hAnsi="Times New Roman" w:eastAsia="仿宋_GB2312" w:cs="Times New Roman"/>
          <w:color w:val="auto"/>
          <w:spacing w:val="0"/>
          <w:sz w:val="32"/>
          <w:szCs w:val="32"/>
          <w:highlight w:val="none"/>
          <w:u w:val="none"/>
          <w:shd w:val="clear" w:color="auto" w:fill="auto"/>
          <w:lang w:val="en-US" w:eastAsia="zh-CN"/>
        </w:rPr>
        <w:t>亿元，长鑫物流、鑫拓物流获评国家4A级物流企业，城资物流获评山东省四星级物流企业，完成规上物流业营收6.1亿元。隆泰金属纽交所上市进展顺利，农大科技、泰鹏环保实现“新三板”挂牌。</w:t>
      </w:r>
    </w:p>
    <w:p w14:paraId="411291F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color w:val="auto"/>
          <w:spacing w:val="0"/>
          <w:sz w:val="32"/>
          <w:szCs w:val="32"/>
          <w:highlight w:val="none"/>
          <w:u w:val="none"/>
          <w:shd w:val="clear" w:color="auto" w:fill="auto"/>
          <w:lang w:val="en-US" w:eastAsia="zh-CN"/>
        </w:rPr>
      </w:pPr>
      <w:r>
        <w:rPr>
          <w:rFonts w:ascii="Times New Roman" w:hAnsi="Times New Roman" w:eastAsia="楷体_GB2312" w:cs="Times New Roman"/>
          <w:b/>
          <w:bCs w:val="0"/>
          <w:snapToGrid w:val="0"/>
          <w:color w:val="auto"/>
          <w:spacing w:val="0"/>
          <w:kern w:val="0"/>
          <w:sz w:val="32"/>
          <w:szCs w:val="32"/>
          <w:highlight w:val="none"/>
          <w:shd w:val="clear" w:color="auto" w:fill="auto"/>
          <w:lang w:val="en-US" w:eastAsia="zh-CN"/>
        </w:rPr>
        <w:t>（三）坚持抓项目、扩投资，发展动能持续释放。</w:t>
      </w:r>
      <w:r>
        <w:rPr>
          <w:rFonts w:ascii="Times New Roman" w:hAnsi="Times New Roman" w:eastAsia="仿宋_GB2312" w:cs="Times New Roman"/>
          <w:color w:val="auto"/>
          <w:spacing w:val="0"/>
          <w:sz w:val="32"/>
          <w:szCs w:val="32"/>
          <w:highlight w:val="none"/>
          <w:u w:val="none"/>
          <w:shd w:val="clear" w:color="auto" w:fill="auto"/>
          <w:lang w:val="en-US" w:eastAsia="zh-CN"/>
        </w:rPr>
        <w:t>始终将重点项目作为经济发展蓄势赋能的“主引擎”，</w:t>
      </w:r>
      <w:r>
        <w:rPr>
          <w:rFonts w:ascii="Times New Roman" w:hAnsi="Times New Roman" w:eastAsia="仿宋_GB2312" w:cs="Times New Roman"/>
          <w:sz w:val="32"/>
          <w:szCs w:val="32"/>
        </w:rPr>
        <w:t>全力攻坚重点项目建设，积极扩大有效投资</w:t>
      </w:r>
      <w:r>
        <w:rPr>
          <w:rFonts w:ascii="Times New Roman" w:hAnsi="Times New Roman" w:eastAsia="仿宋_GB2312" w:cs="Times New Roman"/>
          <w:color w:val="auto"/>
          <w:spacing w:val="0"/>
          <w:sz w:val="32"/>
          <w:szCs w:val="32"/>
          <w:highlight w:val="none"/>
          <w:u w:val="none"/>
          <w:shd w:val="clear" w:color="auto" w:fill="auto"/>
          <w:lang w:val="en-US" w:eastAsia="zh-CN"/>
        </w:rPr>
        <w:t>。</w:t>
      </w:r>
      <w:r>
        <w:rPr>
          <w:rFonts w:ascii="Times New Roman" w:hAnsi="Times New Roman" w:eastAsia="仿宋_GB2312" w:cs="Times New Roman"/>
          <w:b/>
          <w:bCs/>
          <w:sz w:val="32"/>
          <w:szCs w:val="32"/>
        </w:rPr>
        <w:t>策划招引精准</w:t>
      </w:r>
      <w:r>
        <w:rPr>
          <w:rFonts w:ascii="Times New Roman" w:hAnsi="Times New Roman" w:eastAsia="仿宋_GB2312" w:cs="Times New Roman"/>
          <w:b/>
          <w:bCs/>
          <w:sz w:val="32"/>
          <w:szCs w:val="32"/>
          <w:lang w:val="en-US" w:eastAsia="zh-CN"/>
        </w:rPr>
        <w:t>有力</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紧盯国家政策、产业链拓展、企业发展、供需市场</w:t>
      </w:r>
      <w:r>
        <w:rPr>
          <w:rFonts w:ascii="Times New Roman" w:hAnsi="Times New Roman" w:eastAsia="仿宋_GB2312" w:cs="Times New Roman"/>
          <w:b w:val="0"/>
          <w:bCs w:val="0"/>
          <w:color w:val="auto"/>
          <w:sz w:val="32"/>
          <w:szCs w:val="32"/>
          <w:highlight w:val="none"/>
          <w:shd w:val="clear" w:color="auto" w:fill="auto"/>
          <w:lang w:val="en-US" w:eastAsia="zh-CN"/>
        </w:rPr>
        <w:t>策划重大产业项目261个，入选泰安市项目储备库项目140个，获奖案例30个。</w:t>
      </w:r>
      <w:r>
        <w:rPr>
          <w:rFonts w:ascii="Times New Roman" w:hAnsi="Times New Roman" w:eastAsia="仿宋_GB2312" w:cs="Times New Roman"/>
          <w:b w:val="0"/>
          <w:bCs/>
          <w:color w:val="auto"/>
          <w:spacing w:val="0"/>
          <w:sz w:val="32"/>
          <w:szCs w:val="32"/>
          <w:highlight w:val="none"/>
          <w:shd w:val="clear" w:color="auto" w:fill="auto"/>
          <w:lang w:val="en-US" w:eastAsia="zh-CN"/>
        </w:rPr>
        <w:t>用好高质量招商“致胜一招”，科大讯飞、方舟创园等68个项目在市级以上平台签约、到位资金96亿元。</w:t>
      </w:r>
      <w:r>
        <w:rPr>
          <w:rFonts w:ascii="Times New Roman" w:hAnsi="Times New Roman" w:eastAsia="仿宋_GB2312" w:cs="Times New Roman"/>
          <w:b/>
          <w:bCs/>
          <w:sz w:val="32"/>
          <w:szCs w:val="32"/>
        </w:rPr>
        <w:t>项目</w:t>
      </w:r>
      <w:r>
        <w:rPr>
          <w:rFonts w:ascii="Times New Roman" w:hAnsi="Times New Roman" w:eastAsia="仿宋_GB2312" w:cs="Times New Roman"/>
          <w:b/>
          <w:bCs/>
          <w:sz w:val="32"/>
          <w:szCs w:val="32"/>
          <w:lang w:val="en-US" w:eastAsia="zh-CN"/>
        </w:rPr>
        <w:t>建设</w:t>
      </w:r>
      <w:r>
        <w:rPr>
          <w:rFonts w:ascii="Times New Roman" w:hAnsi="Times New Roman" w:eastAsia="仿宋_GB2312" w:cs="Times New Roman"/>
          <w:b/>
          <w:bCs/>
          <w:sz w:val="32"/>
          <w:szCs w:val="32"/>
        </w:rPr>
        <w:t>扎实有力。</w:t>
      </w:r>
      <w:r>
        <w:rPr>
          <w:rFonts w:ascii="Times New Roman" w:hAnsi="Times New Roman" w:eastAsia="仿宋_GB2312" w:cs="Times New Roman"/>
          <w:color w:val="auto"/>
          <w:spacing w:val="0"/>
          <w:sz w:val="32"/>
          <w:szCs w:val="32"/>
          <w:highlight w:val="none"/>
          <w:shd w:val="clear" w:color="auto" w:fill="auto"/>
          <w:lang w:val="en-US" w:eastAsia="zh-CN"/>
        </w:rPr>
        <w:t>创新“ABCD”重点项目分类推进机制，实施全流程跟踪和精细化管理，全力保障重点项目投产达效。入选省市县三级重点项目141个，总投资489.9亿元，全年完成投资352.7亿元，</w:t>
      </w:r>
      <w:r>
        <w:rPr>
          <w:rFonts w:hint="eastAsia" w:ascii="Times New Roman" w:hAnsi="Times New Roman" w:eastAsia="仿宋_GB2312" w:cs="Times New Roman"/>
          <w:color w:val="auto"/>
          <w:spacing w:val="0"/>
          <w:sz w:val="32"/>
          <w:szCs w:val="32"/>
          <w:highlight w:val="none"/>
          <w:shd w:val="clear" w:color="auto" w:fill="auto"/>
          <w:lang w:val="en-US" w:eastAsia="zh-CN"/>
        </w:rPr>
        <w:t>年度完成</w:t>
      </w:r>
      <w:r>
        <w:rPr>
          <w:rFonts w:ascii="Times New Roman" w:hAnsi="Times New Roman" w:eastAsia="仿宋_GB2312" w:cs="Times New Roman"/>
          <w:color w:val="auto"/>
          <w:spacing w:val="0"/>
          <w:sz w:val="32"/>
          <w:szCs w:val="32"/>
          <w:highlight w:val="none"/>
          <w:shd w:val="clear" w:color="auto" w:fill="auto"/>
          <w:lang w:val="en-US" w:eastAsia="zh-CN"/>
        </w:rPr>
        <w:t>投资率120.4%，项目数量、投资额度均居泰安首位。</w:t>
      </w:r>
      <w:r>
        <w:rPr>
          <w:rFonts w:ascii="Times New Roman" w:hAnsi="Times New Roman" w:eastAsia="仿宋_GB2312" w:cs="Times New Roman"/>
          <w:b/>
          <w:bCs/>
          <w:sz w:val="32"/>
          <w:szCs w:val="32"/>
          <w:lang w:val="en-US" w:eastAsia="zh-CN"/>
        </w:rPr>
        <w:t>资金要素保障有力</w:t>
      </w:r>
      <w:r>
        <w:rPr>
          <w:rFonts w:ascii="Times New Roman" w:hAnsi="Times New Roman" w:eastAsia="仿宋_GB2312" w:cs="Times New Roman"/>
          <w:b/>
          <w:bCs/>
          <w:sz w:val="32"/>
          <w:szCs w:val="32"/>
        </w:rPr>
        <w:t>。</w:t>
      </w:r>
      <w:r>
        <w:rPr>
          <w:rFonts w:ascii="Times New Roman" w:hAnsi="Times New Roman" w:eastAsia="仿宋_GB2312" w:cs="Times New Roman"/>
          <w:b w:val="0"/>
          <w:bCs/>
          <w:color w:val="auto"/>
          <w:spacing w:val="0"/>
          <w:sz w:val="32"/>
          <w:szCs w:val="32"/>
          <w:highlight w:val="none"/>
          <w:shd w:val="clear" w:color="auto" w:fill="auto"/>
          <w:lang w:val="en-US" w:eastAsia="zh-CN"/>
        </w:rPr>
        <w:t>全市</w:t>
      </w:r>
      <w:r>
        <w:rPr>
          <w:rFonts w:ascii="Times New Roman" w:hAnsi="Times New Roman" w:eastAsia="仿宋_GB2312" w:cs="Times New Roman"/>
          <w:sz w:val="32"/>
          <w:szCs w:val="32"/>
          <w:lang w:val="en-US" w:eastAsia="zh-CN"/>
        </w:rPr>
        <w:t>争取</w:t>
      </w:r>
      <w:r>
        <w:rPr>
          <w:rFonts w:ascii="Times New Roman" w:hAnsi="Times New Roman" w:eastAsia="仿宋_GB2312" w:cs="Times New Roman"/>
          <w:sz w:val="32"/>
          <w:szCs w:val="32"/>
        </w:rPr>
        <w:t>中央和省预算内、超长期特别国债、地方政府专项债等各类政策性资金</w:t>
      </w:r>
      <w:r>
        <w:rPr>
          <w:rFonts w:ascii="Times New Roman" w:hAnsi="Times New Roman" w:eastAsia="仿宋_GB2312" w:cs="Times New Roman"/>
          <w:b w:val="0"/>
          <w:bCs w:val="0"/>
          <w:color w:val="auto"/>
          <w:sz w:val="32"/>
          <w:szCs w:val="32"/>
          <w:highlight w:val="none"/>
          <w:shd w:val="clear" w:color="auto" w:fill="auto"/>
          <w:lang w:val="en-US" w:eastAsia="zh-CN"/>
        </w:rPr>
        <w:t>52.1亿元，</w:t>
      </w:r>
      <w:r>
        <w:rPr>
          <w:rFonts w:ascii="Times New Roman" w:hAnsi="Times New Roman" w:eastAsia="仿宋_GB2312" w:cs="Times New Roman"/>
          <w:color w:val="auto"/>
          <w:spacing w:val="0"/>
          <w:sz w:val="32"/>
          <w:szCs w:val="32"/>
          <w:highlight w:val="none"/>
          <w:u w:val="none"/>
          <w:shd w:val="clear" w:color="auto" w:fill="auto"/>
          <w:lang w:val="en-US" w:eastAsia="zh-CN"/>
        </w:rPr>
        <w:t>增长10%。</w:t>
      </w:r>
      <w:r>
        <w:rPr>
          <w:rFonts w:ascii="Times New Roman" w:hAnsi="Times New Roman" w:eastAsia="仿宋_GB2312" w:cs="Times New Roman"/>
          <w:sz w:val="32"/>
          <w:szCs w:val="32"/>
          <w:lang w:val="en-US" w:eastAsia="zh-CN"/>
        </w:rPr>
        <w:t>发挥金融支持绿色低碳转型综合试点作用，发行绿色低碳领域专项债券4.7亿元，累计提供绿色信贷支持68亿元、完成绿色基金投资6.4亿元。利用</w:t>
      </w:r>
      <w:r>
        <w:rPr>
          <w:rFonts w:ascii="Times New Roman" w:hAnsi="Times New Roman" w:eastAsia="仿宋_GB2312" w:cs="Times New Roman"/>
          <w:sz w:val="32"/>
          <w:szCs w:val="32"/>
          <w:lang w:eastAsia="zh-CN"/>
        </w:rPr>
        <w:t>“信易贷”平台新增授信</w:t>
      </w:r>
      <w:r>
        <w:rPr>
          <w:rFonts w:ascii="Times New Roman" w:hAnsi="Times New Roman" w:eastAsia="仿宋_GB2312" w:cs="Times New Roman"/>
          <w:sz w:val="32"/>
          <w:szCs w:val="32"/>
          <w:lang w:val="en-US" w:eastAsia="zh-CN"/>
        </w:rPr>
        <w:t>54.9</w:t>
      </w:r>
      <w:r>
        <w:rPr>
          <w:rFonts w:ascii="Times New Roman" w:hAnsi="Times New Roman" w:eastAsia="仿宋_GB2312" w:cs="Times New Roman"/>
          <w:sz w:val="32"/>
          <w:szCs w:val="32"/>
          <w:lang w:eastAsia="zh-CN"/>
        </w:rPr>
        <w:t>亿元。</w:t>
      </w:r>
      <w:r>
        <w:rPr>
          <w:rFonts w:ascii="Times New Roman" w:hAnsi="Times New Roman" w:eastAsia="仿宋_GB2312" w:cs="Times New Roman"/>
          <w:color w:val="auto"/>
          <w:spacing w:val="0"/>
          <w:sz w:val="32"/>
          <w:szCs w:val="32"/>
          <w:highlight w:val="none"/>
          <w:u w:val="none"/>
          <w:shd w:val="clear" w:color="auto" w:fill="auto"/>
          <w:lang w:val="en-US" w:eastAsia="zh-CN"/>
        </w:rPr>
        <w:t>5个项目列入省级技术改造及设备更新补贴名单，认定投资额2.8亿元。</w:t>
      </w:r>
    </w:p>
    <w:p w14:paraId="27434CC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Cs/>
          <w:color w:val="auto"/>
          <w:sz w:val="32"/>
          <w:szCs w:val="32"/>
          <w:highlight w:val="none"/>
          <w:shd w:val="clear" w:color="auto" w:fill="auto"/>
          <w:lang w:val="en-US" w:eastAsia="zh-CN"/>
        </w:rPr>
      </w:pPr>
      <w:r>
        <w:rPr>
          <w:rFonts w:ascii="Times New Roman" w:hAnsi="Times New Roman" w:eastAsia="楷体_GB2312" w:cs="Times New Roman"/>
          <w:b/>
          <w:bCs w:val="0"/>
          <w:snapToGrid w:val="0"/>
          <w:color w:val="auto"/>
          <w:spacing w:val="0"/>
          <w:kern w:val="0"/>
          <w:sz w:val="32"/>
          <w:szCs w:val="32"/>
          <w:highlight w:val="none"/>
          <w:shd w:val="clear" w:color="auto" w:fill="auto"/>
          <w:lang w:val="en-US" w:eastAsia="zh-CN"/>
        </w:rPr>
        <w:t>（四）坚持强农业、兴农村，乡村振兴全面推进。</w:t>
      </w:r>
      <w:r>
        <w:rPr>
          <w:rFonts w:ascii="Times New Roman" w:hAnsi="Times New Roman" w:eastAsia="仿宋_GB2312" w:cs="Times New Roman"/>
          <w:color w:val="auto"/>
          <w:spacing w:val="0"/>
          <w:sz w:val="32"/>
          <w:szCs w:val="32"/>
          <w:highlight w:val="none"/>
          <w:u w:val="none"/>
          <w:shd w:val="clear" w:color="auto" w:fill="auto"/>
          <w:lang w:val="en-US" w:eastAsia="zh-CN"/>
        </w:rPr>
        <w:t>围绕农业产业发展、示范片区建设、共同富裕目标，全力打造乡村振兴齐鲁样板县域示范区。</w:t>
      </w:r>
      <w:r>
        <w:rPr>
          <w:rFonts w:ascii="Times New Roman" w:hAnsi="Times New Roman" w:eastAsia="仿宋_GB2312" w:cs="Times New Roman"/>
          <w:b/>
          <w:bCs/>
          <w:sz w:val="32"/>
          <w:szCs w:val="32"/>
          <w:lang w:val="en-US" w:eastAsia="zh-CN"/>
        </w:rPr>
        <w:t>粮安责任不断扛稳。</w:t>
      </w:r>
      <w:r>
        <w:rPr>
          <w:rFonts w:ascii="Times New Roman" w:hAnsi="Times New Roman" w:eastAsia="仿宋_GB2312" w:cs="Times New Roman"/>
          <w:b w:val="0"/>
          <w:bCs/>
          <w:color w:val="auto"/>
          <w:spacing w:val="0"/>
          <w:sz w:val="32"/>
          <w:szCs w:val="32"/>
          <w:highlight w:val="none"/>
          <w:u w:val="none"/>
          <w:shd w:val="clear" w:color="auto" w:fill="auto"/>
          <w:lang w:val="en-US" w:eastAsia="zh-CN"/>
        </w:rPr>
        <w:t>新建高标准农田3.2万亩，</w:t>
      </w:r>
      <w:r>
        <w:rPr>
          <w:rFonts w:ascii="Times New Roman" w:hAnsi="Times New Roman" w:eastAsia="仿宋_GB2312" w:cs="Times New Roman"/>
          <w:b w:val="0"/>
          <w:bCs w:val="0"/>
          <w:color w:val="auto"/>
          <w:sz w:val="32"/>
          <w:szCs w:val="32"/>
          <w:highlight w:val="none"/>
          <w:shd w:val="clear" w:color="auto" w:fill="auto"/>
          <w:lang w:val="en-US" w:eastAsia="zh-CN"/>
        </w:rPr>
        <w:t>全年粮食亩产474公斤、总产51.1万吨，高标准建设汶阳田现代农业示范区，“汶阳田”纳入全省六大主要粮食作物大面积单产提升引领区。</w:t>
      </w:r>
      <w:r>
        <w:rPr>
          <w:rFonts w:ascii="Times New Roman" w:hAnsi="Times New Roman" w:eastAsia="仿宋_GB2312" w:cs="Times New Roman"/>
          <w:b/>
          <w:bCs/>
          <w:sz w:val="32"/>
          <w:szCs w:val="32"/>
          <w:lang w:val="en-US" w:eastAsia="zh-CN"/>
        </w:rPr>
        <w:t>农业产业蓬勃发展。</w:t>
      </w:r>
      <w:r>
        <w:rPr>
          <w:rFonts w:ascii="Times New Roman" w:hAnsi="Times New Roman" w:eastAsia="仿宋_GB2312" w:cs="Times New Roman"/>
          <w:color w:val="auto"/>
          <w:spacing w:val="0"/>
          <w:sz w:val="32"/>
          <w:szCs w:val="32"/>
          <w:highlight w:val="none"/>
          <w:shd w:val="clear" w:color="auto" w:fill="auto"/>
          <w:lang w:val="en-US" w:eastAsia="zh-CN"/>
        </w:rPr>
        <w:t>省内规模最大的设施番茄种植基地落地建设</w:t>
      </w:r>
      <w:r>
        <w:rPr>
          <w:rFonts w:hint="eastAsia" w:ascii="Times New Roman" w:hAnsi="Times New Roman" w:eastAsia="仿宋_GB2312" w:cs="Times New Roman"/>
          <w:color w:val="auto"/>
          <w:spacing w:val="0"/>
          <w:sz w:val="32"/>
          <w:szCs w:val="32"/>
          <w:highlight w:val="none"/>
          <w:shd w:val="clear" w:color="auto" w:fill="auto"/>
          <w:lang w:val="en-US" w:eastAsia="zh-CN"/>
        </w:rPr>
        <w:t>，</w:t>
      </w:r>
      <w:r>
        <w:rPr>
          <w:rFonts w:ascii="Times New Roman" w:hAnsi="Times New Roman" w:eastAsia="仿宋_GB2312" w:cs="Times New Roman"/>
          <w:color w:val="auto"/>
          <w:spacing w:val="0"/>
          <w:sz w:val="32"/>
          <w:szCs w:val="32"/>
          <w:highlight w:val="none"/>
          <w:u w:val="none"/>
          <w:shd w:val="clear" w:color="auto" w:fill="auto"/>
          <w:lang w:val="en-US" w:eastAsia="zh-CN"/>
        </w:rPr>
        <w:t>泰山番茄创新研究院“一院四中心”建成运营，年可繁育种苗2.2亿株、带动种植11万亩</w:t>
      </w:r>
      <w:r>
        <w:rPr>
          <w:rFonts w:ascii="Times New Roman" w:hAnsi="Times New Roman" w:eastAsia="仿宋_GB2312" w:cs="Times New Roman"/>
          <w:color w:val="auto"/>
          <w:spacing w:val="0"/>
          <w:sz w:val="32"/>
          <w:szCs w:val="32"/>
          <w:highlight w:val="none"/>
          <w:shd w:val="clear" w:color="auto" w:fill="auto"/>
          <w:lang w:val="en-US" w:eastAsia="zh-CN"/>
        </w:rPr>
        <w:t>。</w:t>
      </w:r>
      <w:r>
        <w:rPr>
          <w:rFonts w:ascii="Times New Roman" w:hAnsi="Times New Roman" w:eastAsia="仿宋_GB2312" w:cs="Times New Roman"/>
          <w:color w:val="auto"/>
          <w:spacing w:val="0"/>
          <w:sz w:val="32"/>
          <w:szCs w:val="32"/>
          <w:highlight w:val="none"/>
          <w:u w:val="none"/>
          <w:shd w:val="clear" w:color="auto" w:fill="auto"/>
          <w:lang w:val="en-US" w:eastAsia="zh-CN"/>
        </w:rPr>
        <w:t>入选国家鲁中山区桃优势产业集群，福宽生物晋升国家级农业龙头企业，培育新型农业经营主体227家，农林牧渔业预计实现产值14</w:t>
      </w:r>
      <w:r>
        <w:rPr>
          <w:rFonts w:hint="eastAsia" w:ascii="Times New Roman" w:hAnsi="Times New Roman" w:eastAsia="仿宋_GB2312" w:cs="Times New Roman"/>
          <w:color w:val="auto"/>
          <w:spacing w:val="0"/>
          <w:sz w:val="32"/>
          <w:szCs w:val="32"/>
          <w:highlight w:val="none"/>
          <w:u w:val="none"/>
          <w:shd w:val="clear" w:color="auto" w:fill="auto"/>
          <w:lang w:val="en-US" w:eastAsia="zh-CN"/>
        </w:rPr>
        <w:t>2.7</w:t>
      </w:r>
      <w:r>
        <w:rPr>
          <w:rFonts w:ascii="Times New Roman" w:hAnsi="Times New Roman" w:eastAsia="仿宋_GB2312" w:cs="Times New Roman"/>
          <w:color w:val="auto"/>
          <w:spacing w:val="0"/>
          <w:sz w:val="32"/>
          <w:szCs w:val="32"/>
          <w:highlight w:val="none"/>
          <w:u w:val="none"/>
          <w:shd w:val="clear" w:color="auto" w:fill="auto"/>
          <w:lang w:val="en-US" w:eastAsia="zh-CN"/>
        </w:rPr>
        <w:t>亿元。推出“肥城好品”农产品区域公用品牌，74种农产品纳入范围，获评省级农产品加工、畜牧业高质量发展先行县。</w:t>
      </w:r>
      <w:r>
        <w:rPr>
          <w:rFonts w:ascii="Times New Roman" w:hAnsi="Times New Roman" w:eastAsia="仿宋_GB2312" w:cs="Times New Roman"/>
          <w:b/>
          <w:bCs/>
          <w:sz w:val="32"/>
          <w:szCs w:val="32"/>
          <w:lang w:val="en-US" w:eastAsia="zh-CN"/>
        </w:rPr>
        <w:t>乡村建设扎实推进。</w:t>
      </w:r>
      <w:r>
        <w:rPr>
          <w:rFonts w:ascii="Times New Roman" w:hAnsi="Times New Roman" w:eastAsia="仿宋_GB2312" w:cs="Times New Roman"/>
          <w:b w:val="0"/>
          <w:bCs w:val="0"/>
          <w:color w:val="auto"/>
          <w:sz w:val="32"/>
          <w:szCs w:val="32"/>
          <w:highlight w:val="none"/>
          <w:shd w:val="clear" w:color="auto" w:fill="auto"/>
          <w:lang w:val="en-US" w:eastAsia="zh-CN"/>
        </w:rPr>
        <w:t>潮泉镇乡村振兴齐鲁样板省级示范区创建成功，孙伯镇入选全省传统民居保护试点。实施</w:t>
      </w:r>
      <w:r>
        <w:rPr>
          <w:rFonts w:ascii="Times New Roman" w:hAnsi="Times New Roman" w:eastAsia="仿宋_GB2312" w:cs="Times New Roman"/>
          <w:bCs/>
          <w:color w:val="auto"/>
          <w:sz w:val="32"/>
          <w:szCs w:val="32"/>
          <w:highlight w:val="none"/>
          <w:shd w:val="clear" w:color="auto" w:fill="auto"/>
          <w:lang w:val="en-US" w:eastAsia="zh-CN"/>
        </w:rPr>
        <w:t>农村人居环境整治提升行动，新改建“四好农村路”120公里，清理村内水塘460个、沟渠180公里。持续做好农村危房改造、垃圾处理、污水治理、清洁取暖、无害化厕所改造等工作，新创建省级和美乡村5个。</w:t>
      </w:r>
    </w:p>
    <w:p w14:paraId="575C998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楷体_GB2312" w:cs="Times New Roman"/>
          <w:b/>
          <w:bCs w:val="0"/>
          <w:snapToGrid w:val="0"/>
          <w:color w:val="auto"/>
          <w:spacing w:val="0"/>
          <w:kern w:val="0"/>
          <w:sz w:val="32"/>
          <w:szCs w:val="32"/>
          <w:highlight w:val="none"/>
          <w:shd w:val="clear" w:color="auto" w:fill="auto"/>
          <w:lang w:val="en-US" w:eastAsia="zh-CN"/>
        </w:rPr>
        <w:t>（五）坚持抓改革、重创新，发展活力持续释放。</w:t>
      </w:r>
      <w:r>
        <w:rPr>
          <w:rFonts w:ascii="Times New Roman" w:hAnsi="Times New Roman" w:eastAsia="仿宋_GB2312" w:cs="Times New Roman"/>
          <w:bCs/>
          <w:color w:val="auto"/>
          <w:sz w:val="32"/>
          <w:szCs w:val="32"/>
          <w:highlight w:val="none"/>
          <w:shd w:val="clear" w:color="auto" w:fill="auto"/>
          <w:lang w:val="en-US" w:eastAsia="zh-CN"/>
        </w:rPr>
        <w:t>不断深化改革创新，优化发展环境，扩大对外开放，为高质量发展注入新动力、释放新活力。</w:t>
      </w:r>
      <w:r>
        <w:rPr>
          <w:rFonts w:ascii="Times New Roman" w:hAnsi="Times New Roman" w:eastAsia="仿宋_GB2312" w:cs="Times New Roman"/>
          <w:b/>
          <w:bCs/>
          <w:sz w:val="32"/>
          <w:szCs w:val="32"/>
          <w:lang w:val="en-US" w:eastAsia="zh-CN"/>
        </w:rPr>
        <w:t>重点改革成效显著。</w:t>
      </w:r>
      <w:r>
        <w:rPr>
          <w:rFonts w:ascii="Times New Roman" w:hAnsi="Times New Roman" w:eastAsia="仿宋_GB2312" w:cs="Times New Roman"/>
          <w:b w:val="0"/>
          <w:bCs w:val="0"/>
          <w:sz w:val="32"/>
          <w:szCs w:val="32"/>
          <w:lang w:val="en-US" w:eastAsia="zh-CN"/>
        </w:rPr>
        <w:t>新增</w:t>
      </w:r>
      <w:r>
        <w:rPr>
          <w:rFonts w:ascii="Times New Roman" w:hAnsi="Times New Roman" w:eastAsia="仿宋_GB2312" w:cs="Times New Roman"/>
          <w:b w:val="0"/>
          <w:bCs w:val="0"/>
          <w:color w:val="auto"/>
          <w:spacing w:val="0"/>
          <w:sz w:val="32"/>
          <w:szCs w:val="32"/>
          <w:highlight w:val="none"/>
          <w:shd w:val="clear" w:color="auto" w:fill="auto"/>
          <w:lang w:val="en-US" w:eastAsia="zh-CN"/>
        </w:rPr>
        <w:t>国家级试点9个，省级试点33个，13项试点高标准通过验收。国企改革持续深化，新增AA+主体信用评级企业1家、总数达到3家。高新区成功创建省级高新技术开发区，经开区在全省开发区考核中获“一等”等次。</w:t>
      </w:r>
      <w:r>
        <w:rPr>
          <w:rFonts w:ascii="Times New Roman" w:hAnsi="Times New Roman" w:eastAsia="仿宋_GB2312" w:cs="Times New Roman"/>
          <w:b/>
          <w:bCs/>
          <w:sz w:val="32"/>
          <w:szCs w:val="32"/>
          <w:lang w:val="en-US" w:eastAsia="zh-CN"/>
        </w:rPr>
        <w:t>创新活力不断激发。</w:t>
      </w:r>
      <w:r>
        <w:rPr>
          <w:rFonts w:ascii="Times New Roman" w:hAnsi="Times New Roman" w:eastAsia="仿宋_GB2312" w:cs="Times New Roman"/>
          <w:b w:val="0"/>
          <w:bCs/>
          <w:color w:val="auto"/>
          <w:spacing w:val="0"/>
          <w:sz w:val="32"/>
          <w:szCs w:val="32"/>
          <w:highlight w:val="none"/>
          <w:shd w:val="clear" w:color="auto" w:fill="auto"/>
          <w:lang w:val="en-US" w:eastAsia="zh-CN"/>
        </w:rPr>
        <w:t>实施“科技赋能·创新驱动”行动，</w:t>
      </w:r>
      <w:r>
        <w:rPr>
          <w:rFonts w:ascii="Times New Roman" w:hAnsi="Times New Roman" w:eastAsia="仿宋_GB2312" w:cs="Times New Roman"/>
          <w:b w:val="0"/>
          <w:bCs w:val="0"/>
          <w:color w:val="auto"/>
          <w:sz w:val="32"/>
          <w:szCs w:val="32"/>
          <w:highlight w:val="none"/>
          <w:shd w:val="clear" w:color="auto" w:fill="auto"/>
          <w:lang w:val="en-US" w:eastAsia="zh-CN"/>
        </w:rPr>
        <w:t>20个</w:t>
      </w:r>
      <w:r>
        <w:rPr>
          <w:rFonts w:ascii="Times New Roman" w:hAnsi="Times New Roman" w:eastAsia="仿宋_GB2312" w:cs="Times New Roman"/>
          <w:b w:val="0"/>
          <w:bCs/>
          <w:color w:val="auto"/>
          <w:spacing w:val="0"/>
          <w:sz w:val="32"/>
          <w:szCs w:val="32"/>
          <w:highlight w:val="none"/>
          <w:shd w:val="clear" w:color="auto" w:fill="auto"/>
          <w:lang w:val="en-US" w:eastAsia="zh-CN"/>
        </w:rPr>
        <w:t>项目获省级、泰安市级科技创新立项，5项成果获省和国家科学技术奖。新增1家院士工作站，2家博士后科研工作站，国家级人才平台达到8家。</w:t>
      </w:r>
      <w:r>
        <w:rPr>
          <w:rFonts w:ascii="Times New Roman" w:hAnsi="Times New Roman" w:eastAsia="仿宋_GB2312" w:cs="Times New Roman"/>
          <w:color w:val="auto"/>
          <w:spacing w:val="0"/>
          <w:sz w:val="32"/>
          <w:szCs w:val="32"/>
          <w:highlight w:val="none"/>
          <w:u w:val="none"/>
          <w:shd w:val="clear" w:color="auto" w:fill="auto"/>
          <w:lang w:val="en-US" w:eastAsia="zh-CN"/>
        </w:rPr>
        <w:t>培育国家级重点人才工程专家3名，吸引高层次人才122人，入选省级人才引领县域高质量发展试点县。</w:t>
      </w:r>
      <w:r>
        <w:rPr>
          <w:rFonts w:ascii="Times New Roman" w:hAnsi="Times New Roman" w:eastAsia="仿宋_GB2312" w:cs="Times New Roman"/>
          <w:b/>
          <w:bCs/>
          <w:sz w:val="32"/>
          <w:szCs w:val="32"/>
          <w:lang w:val="en-US" w:eastAsia="zh-CN"/>
        </w:rPr>
        <w:t>营商环境持续优化。</w:t>
      </w:r>
      <w:r>
        <w:rPr>
          <w:rFonts w:ascii="Times New Roman" w:hAnsi="Times New Roman" w:eastAsia="仿宋_GB2312" w:cs="Times New Roman"/>
          <w:color w:val="auto"/>
          <w:spacing w:val="0"/>
          <w:sz w:val="32"/>
          <w:szCs w:val="32"/>
          <w:highlight w:val="none"/>
          <w:u w:val="none"/>
          <w:shd w:val="clear" w:color="auto" w:fill="auto"/>
          <w:lang w:val="en-US" w:eastAsia="zh-CN"/>
        </w:rPr>
        <w:t>深化“高效办成一件事”改革，完成全省首个“深化电子印章应用”试点，新登记市场主体7563户，在营企业突破2万家，</w:t>
      </w:r>
      <w:r>
        <w:rPr>
          <w:rFonts w:ascii="Times New Roman" w:hAnsi="Times New Roman" w:eastAsia="仿宋_GB2312" w:cs="Times New Roman"/>
          <w:b w:val="0"/>
          <w:bCs w:val="0"/>
          <w:color w:val="auto"/>
          <w:sz w:val="32"/>
          <w:szCs w:val="32"/>
          <w:highlight w:val="none"/>
          <w:shd w:val="clear" w:color="auto" w:fill="auto"/>
          <w:lang w:val="en-US" w:eastAsia="zh-CN"/>
        </w:rPr>
        <w:t>万人发明专利拥有量增长53.3%。</w:t>
      </w:r>
      <w:r>
        <w:rPr>
          <w:rFonts w:ascii="Times New Roman" w:hAnsi="Times New Roman" w:eastAsia="仿宋_GB2312" w:cs="Times New Roman"/>
          <w:color w:val="auto"/>
          <w:spacing w:val="0"/>
          <w:sz w:val="32"/>
          <w:szCs w:val="32"/>
          <w:highlight w:val="none"/>
          <w:u w:val="none"/>
          <w:shd w:val="clear" w:color="auto" w:fill="auto"/>
          <w:lang w:val="en-US" w:eastAsia="zh-CN"/>
        </w:rPr>
        <w:t>开展“双服务大走访”活动，协调解决企业问题653条。严格落实“企业宁静日”制度，入企检查次数下降64.4%。保障重点项目建设用地2731亩，其中处置批而未供土地1642亩。</w:t>
      </w:r>
      <w:r>
        <w:rPr>
          <w:rFonts w:ascii="Times New Roman" w:hAnsi="Times New Roman" w:eastAsia="仿宋_GB2312" w:cs="Times New Roman"/>
          <w:b/>
          <w:bCs/>
          <w:sz w:val="32"/>
          <w:szCs w:val="32"/>
          <w:lang w:val="en-US" w:eastAsia="zh-CN"/>
        </w:rPr>
        <w:t>开放能力有效增强。</w:t>
      </w:r>
      <w:r>
        <w:rPr>
          <w:rFonts w:ascii="Times New Roman" w:hAnsi="Times New Roman" w:eastAsia="仿宋_GB2312" w:cs="Times New Roman"/>
          <w:color w:val="auto"/>
          <w:spacing w:val="0"/>
          <w:sz w:val="32"/>
          <w:szCs w:val="32"/>
          <w:highlight w:val="none"/>
          <w:u w:val="none"/>
          <w:shd w:val="clear" w:color="auto" w:fill="auto"/>
          <w:lang w:val="en-US" w:eastAsia="zh-CN"/>
        </w:rPr>
        <w:t>组织企业参加境外“百展计划”，</w:t>
      </w:r>
      <w:r>
        <w:rPr>
          <w:rFonts w:ascii="Times New Roman" w:hAnsi="Times New Roman" w:eastAsia="仿宋_GB2312" w:cs="Times New Roman"/>
          <w:b w:val="0"/>
          <w:bCs w:val="0"/>
          <w:color w:val="auto"/>
          <w:sz w:val="32"/>
          <w:szCs w:val="32"/>
          <w:highlight w:val="none"/>
          <w:shd w:val="clear" w:color="auto" w:fill="auto"/>
          <w:lang w:val="en-US" w:eastAsia="zh-CN"/>
        </w:rPr>
        <w:t>新增外贸进出口实绩企业19家，外贸业绩回流2.5亿元，完成外贸进出口</w:t>
      </w:r>
      <w:r>
        <w:rPr>
          <w:rFonts w:hint="eastAsia" w:ascii="Times New Roman" w:hAnsi="Times New Roman" w:eastAsia="仿宋_GB2312" w:cs="Times New Roman"/>
          <w:b w:val="0"/>
          <w:bCs w:val="0"/>
          <w:color w:val="auto"/>
          <w:sz w:val="32"/>
          <w:szCs w:val="32"/>
          <w:highlight w:val="none"/>
          <w:shd w:val="clear" w:color="auto" w:fill="auto"/>
          <w:lang w:val="en-US" w:eastAsia="zh-CN"/>
        </w:rPr>
        <w:t>64</w:t>
      </w:r>
      <w:r>
        <w:rPr>
          <w:rFonts w:ascii="Times New Roman" w:hAnsi="Times New Roman" w:eastAsia="仿宋_GB2312" w:cs="Times New Roman"/>
          <w:b w:val="0"/>
          <w:bCs w:val="0"/>
          <w:color w:val="auto"/>
          <w:sz w:val="32"/>
          <w:szCs w:val="32"/>
          <w:highlight w:val="none"/>
          <w:shd w:val="clear" w:color="auto" w:fill="auto"/>
          <w:lang w:val="en-US" w:eastAsia="zh-CN"/>
        </w:rPr>
        <w:t>亿元。</w:t>
      </w:r>
      <w:r>
        <w:rPr>
          <w:rFonts w:ascii="Times New Roman" w:hAnsi="Times New Roman" w:eastAsia="仿宋_GB2312" w:cs="Times New Roman"/>
          <w:color w:val="auto"/>
          <w:spacing w:val="0"/>
          <w:sz w:val="32"/>
          <w:szCs w:val="32"/>
          <w:highlight w:val="none"/>
          <w:u w:val="none"/>
          <w:shd w:val="clear" w:color="auto" w:fill="auto"/>
          <w:lang w:val="en-US" w:eastAsia="zh-CN"/>
        </w:rPr>
        <w:t>实施“跨境电商+产业带”培育工程，新增跨境电商品牌3个，实现交易额21亿元。</w:t>
      </w:r>
      <w:r>
        <w:rPr>
          <w:rFonts w:ascii="Times New Roman" w:hAnsi="Times New Roman" w:eastAsia="仿宋_GB2312" w:cs="Times New Roman"/>
          <w:b w:val="0"/>
          <w:bCs w:val="0"/>
          <w:color w:val="auto"/>
          <w:sz w:val="32"/>
          <w:szCs w:val="32"/>
          <w:highlight w:val="none"/>
          <w:shd w:val="clear" w:color="auto" w:fill="auto"/>
          <w:lang w:val="en-US" w:eastAsia="zh-CN"/>
        </w:rPr>
        <w:t>泰鹏智能家居在泰国投资建厂。签约落地外资项目9个，实际使用外资1亿美元。</w:t>
      </w:r>
    </w:p>
    <w:p w14:paraId="1850F1E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color w:val="auto"/>
          <w:spacing w:val="2"/>
          <w:sz w:val="32"/>
          <w:szCs w:val="32"/>
          <w:highlight w:val="none"/>
          <w:shd w:val="clear" w:color="auto" w:fill="auto"/>
          <w:lang w:eastAsia="zh-CN"/>
        </w:rPr>
      </w:pPr>
      <w:r>
        <w:rPr>
          <w:rFonts w:ascii="Times New Roman" w:hAnsi="Times New Roman" w:eastAsia="楷体_GB2312" w:cs="Times New Roman"/>
          <w:b/>
          <w:bCs w:val="0"/>
          <w:snapToGrid w:val="0"/>
          <w:color w:val="auto"/>
          <w:spacing w:val="0"/>
          <w:kern w:val="0"/>
          <w:sz w:val="32"/>
          <w:szCs w:val="32"/>
          <w:highlight w:val="none"/>
          <w:shd w:val="clear" w:color="auto" w:fill="auto"/>
          <w:lang w:val="en-US" w:eastAsia="zh-CN"/>
        </w:rPr>
        <w:t>（六）坚持补短板、优服务，民生福祉可感可及。</w:t>
      </w:r>
      <w:r>
        <w:rPr>
          <w:rFonts w:ascii="Times New Roman" w:hAnsi="Times New Roman" w:eastAsia="仿宋_GB2312" w:cs="Times New Roman"/>
          <w:b w:val="0"/>
          <w:bCs w:val="0"/>
          <w:color w:val="auto"/>
          <w:sz w:val="32"/>
          <w:szCs w:val="32"/>
          <w:highlight w:val="none"/>
          <w:shd w:val="clear" w:color="auto" w:fill="auto"/>
          <w:lang w:val="en-US" w:eastAsia="zh-CN"/>
        </w:rPr>
        <w:t>围绕群众“急难愁盼”，聚力办好民生实事，塑优城市环境品质，提升社会保障服务水平，坚决筑牢各类底线，不断增强人民群众获得感、幸福感、安全感。</w:t>
      </w:r>
      <w:r>
        <w:rPr>
          <w:rFonts w:ascii="Times New Roman" w:hAnsi="Times New Roman" w:eastAsia="仿宋_GB2312" w:cs="Times New Roman"/>
          <w:b/>
          <w:bCs/>
          <w:sz w:val="32"/>
          <w:szCs w:val="32"/>
          <w:lang w:val="en-US" w:eastAsia="zh-CN"/>
        </w:rPr>
        <w:t>城市环境更加宜居。</w:t>
      </w:r>
      <w:r>
        <w:rPr>
          <w:rFonts w:ascii="Times New Roman" w:hAnsi="Times New Roman" w:eastAsia="仿宋_GB2312" w:cs="Times New Roman"/>
          <w:bCs/>
          <w:color w:val="auto"/>
          <w:sz w:val="32"/>
          <w:szCs w:val="32"/>
          <w:highlight w:val="none"/>
          <w:shd w:val="clear" w:color="auto" w:fill="auto"/>
          <w:lang w:eastAsia="zh-CN"/>
        </w:rPr>
        <w:t>龙山路东延、金牛山大街中段改造</w:t>
      </w:r>
      <w:r>
        <w:rPr>
          <w:rFonts w:ascii="Times New Roman" w:hAnsi="Times New Roman" w:eastAsia="仿宋_GB2312" w:cs="Times New Roman"/>
          <w:bCs/>
          <w:color w:val="auto"/>
          <w:sz w:val="32"/>
          <w:szCs w:val="32"/>
          <w:highlight w:val="none"/>
          <w:shd w:val="clear" w:color="auto" w:fill="auto"/>
          <w:lang w:val="en-US" w:eastAsia="zh-CN"/>
        </w:rPr>
        <w:t>顺利完工</w:t>
      </w:r>
      <w:r>
        <w:rPr>
          <w:rFonts w:ascii="Times New Roman" w:hAnsi="Times New Roman" w:eastAsia="仿宋_GB2312" w:cs="Times New Roman"/>
          <w:bCs/>
          <w:color w:val="auto"/>
          <w:sz w:val="32"/>
          <w:szCs w:val="32"/>
          <w:highlight w:val="none"/>
          <w:shd w:val="clear" w:color="auto" w:fill="auto"/>
          <w:lang w:eastAsia="zh-CN"/>
        </w:rPr>
        <w:t>，</w:t>
      </w:r>
      <w:r>
        <w:rPr>
          <w:rFonts w:ascii="Times New Roman" w:hAnsi="Times New Roman" w:eastAsia="仿宋_GB2312" w:cs="Times New Roman"/>
          <w:b w:val="0"/>
          <w:bCs w:val="0"/>
          <w:color w:val="auto"/>
          <w:sz w:val="32"/>
          <w:szCs w:val="32"/>
          <w:highlight w:val="none"/>
          <w:shd w:val="clear" w:color="auto" w:fill="auto"/>
          <w:lang w:val="en-US" w:eastAsia="zh-CN"/>
        </w:rPr>
        <w:t>孙牛路提升工程全面铺开</w:t>
      </w:r>
      <w:r>
        <w:rPr>
          <w:rFonts w:ascii="Times New Roman" w:hAnsi="Times New Roman" w:eastAsia="仿宋_GB2312" w:cs="Times New Roman"/>
          <w:bCs/>
          <w:color w:val="auto"/>
          <w:sz w:val="32"/>
          <w:szCs w:val="32"/>
          <w:highlight w:val="none"/>
          <w:shd w:val="clear" w:color="auto" w:fill="auto"/>
          <w:lang w:eastAsia="zh-CN"/>
        </w:rPr>
        <w:t>，济微高速、仪阳通用机场建设快速推进。</w:t>
      </w:r>
      <w:r>
        <w:rPr>
          <w:rFonts w:ascii="Times New Roman" w:hAnsi="Times New Roman" w:eastAsia="仿宋_GB2312" w:cs="Times New Roman"/>
          <w:bCs/>
          <w:color w:val="auto"/>
          <w:sz w:val="32"/>
          <w:szCs w:val="32"/>
          <w:highlight w:val="none"/>
          <w:shd w:val="clear" w:color="auto" w:fill="auto"/>
          <w:lang w:val="en-US" w:eastAsia="zh-CN"/>
        </w:rPr>
        <w:t>完成</w:t>
      </w:r>
      <w:r>
        <w:rPr>
          <w:rFonts w:ascii="Times New Roman" w:hAnsi="Times New Roman" w:eastAsia="仿宋_GB2312" w:cs="Times New Roman"/>
          <w:bCs/>
          <w:color w:val="auto"/>
          <w:sz w:val="32"/>
          <w:szCs w:val="32"/>
          <w:highlight w:val="none"/>
          <w:shd w:val="clear" w:color="auto" w:fill="auto"/>
          <w:lang w:eastAsia="zh-CN"/>
        </w:rPr>
        <w:t>老旧小区改造项目28个，</w:t>
      </w:r>
      <w:r>
        <w:rPr>
          <w:rFonts w:ascii="Times New Roman" w:hAnsi="Times New Roman" w:eastAsia="仿宋_GB2312" w:cs="Times New Roman"/>
          <w:bCs/>
          <w:color w:val="auto"/>
          <w:sz w:val="32"/>
          <w:szCs w:val="32"/>
          <w:highlight w:val="none"/>
          <w:shd w:val="clear" w:color="auto" w:fill="auto"/>
          <w:lang w:val="en-US" w:eastAsia="zh-CN"/>
        </w:rPr>
        <w:t>建成提升口袋公园20处、</w:t>
      </w:r>
      <w:r>
        <w:rPr>
          <w:rFonts w:ascii="Times New Roman" w:hAnsi="Times New Roman" w:eastAsia="仿宋_GB2312" w:cs="Times New Roman"/>
          <w:b w:val="0"/>
          <w:bCs w:val="0"/>
          <w:color w:val="auto"/>
          <w:sz w:val="32"/>
          <w:szCs w:val="32"/>
          <w:highlight w:val="none"/>
          <w:shd w:val="clear" w:color="auto" w:fill="auto"/>
          <w:lang w:val="en-US" w:eastAsia="zh-CN"/>
        </w:rPr>
        <w:t>城市驿站</w:t>
      </w:r>
      <w:r>
        <w:rPr>
          <w:rFonts w:hint="eastAsia" w:ascii="Times New Roman" w:hAnsi="Times New Roman" w:eastAsia="仿宋_GB2312" w:cs="Times New Roman"/>
          <w:b w:val="0"/>
          <w:bCs w:val="0"/>
          <w:color w:val="auto"/>
          <w:sz w:val="32"/>
          <w:szCs w:val="32"/>
          <w:highlight w:val="none"/>
          <w:shd w:val="clear" w:color="auto" w:fill="auto"/>
          <w:lang w:val="en-US" w:eastAsia="zh-CN"/>
        </w:rPr>
        <w:t>5</w:t>
      </w:r>
      <w:r>
        <w:rPr>
          <w:rFonts w:ascii="Times New Roman" w:hAnsi="Times New Roman" w:eastAsia="仿宋_GB2312" w:cs="Times New Roman"/>
          <w:b w:val="0"/>
          <w:bCs w:val="0"/>
          <w:color w:val="auto"/>
          <w:sz w:val="32"/>
          <w:szCs w:val="32"/>
          <w:highlight w:val="none"/>
          <w:shd w:val="clear" w:color="auto" w:fill="auto"/>
          <w:lang w:val="en-US" w:eastAsia="zh-CN"/>
        </w:rPr>
        <w:t>个、公共充电桩276个，交付回迁安置社区5个。</w:t>
      </w:r>
      <w:r>
        <w:rPr>
          <w:rFonts w:ascii="Times New Roman" w:hAnsi="Times New Roman" w:eastAsia="仿宋_GB2312" w:cs="Times New Roman"/>
          <w:bCs/>
          <w:color w:val="auto"/>
          <w:sz w:val="32"/>
          <w:szCs w:val="32"/>
          <w:highlight w:val="none"/>
          <w:shd w:val="clear" w:color="auto" w:fill="auto"/>
          <w:lang w:val="en-US" w:eastAsia="zh-CN"/>
        </w:rPr>
        <w:t>改造合流制管网10公里、混接点</w:t>
      </w:r>
      <w:r>
        <w:rPr>
          <w:rFonts w:ascii="Times New Roman" w:hAnsi="Times New Roman" w:eastAsia="仿宋_GB2312" w:cs="Times New Roman"/>
          <w:b w:val="0"/>
          <w:bCs w:val="0"/>
          <w:color w:val="auto"/>
          <w:sz w:val="32"/>
          <w:szCs w:val="32"/>
          <w:highlight w:val="none"/>
          <w:shd w:val="clear" w:color="auto" w:fill="auto"/>
          <w:lang w:val="en-US" w:eastAsia="zh-CN"/>
        </w:rPr>
        <w:t>110处，</w:t>
      </w:r>
      <w:r>
        <w:rPr>
          <w:rFonts w:ascii="Times New Roman" w:hAnsi="Times New Roman" w:eastAsia="仿宋_GB2312" w:cs="Times New Roman"/>
          <w:bCs/>
          <w:color w:val="auto"/>
          <w:sz w:val="32"/>
          <w:szCs w:val="32"/>
          <w:highlight w:val="none"/>
          <w:shd w:val="clear" w:color="auto" w:fill="auto"/>
          <w:lang w:val="en-US" w:eastAsia="zh-CN"/>
        </w:rPr>
        <w:t>建成区雨污混流实现清零</w:t>
      </w:r>
      <w:r>
        <w:rPr>
          <w:rFonts w:ascii="Times New Roman" w:hAnsi="Times New Roman" w:eastAsia="仿宋_GB2312" w:cs="Times New Roman"/>
          <w:bCs/>
          <w:color w:val="auto"/>
          <w:sz w:val="32"/>
          <w:szCs w:val="32"/>
          <w:highlight w:val="none"/>
          <w:shd w:val="clear" w:color="auto" w:fill="auto"/>
          <w:lang w:eastAsia="zh-CN"/>
        </w:rPr>
        <w:t>。入选</w:t>
      </w:r>
      <w:r>
        <w:rPr>
          <w:rFonts w:ascii="Times New Roman" w:hAnsi="Times New Roman" w:eastAsia="仿宋_GB2312" w:cs="Times New Roman"/>
          <w:bCs/>
          <w:color w:val="auto"/>
          <w:sz w:val="32"/>
          <w:szCs w:val="32"/>
          <w:highlight w:val="none"/>
          <w:shd w:val="clear" w:color="auto" w:fill="auto"/>
          <w:lang w:val="en-US" w:eastAsia="zh-CN"/>
        </w:rPr>
        <w:t>山东</w:t>
      </w:r>
      <w:r>
        <w:rPr>
          <w:rFonts w:ascii="Times New Roman" w:hAnsi="Times New Roman" w:eastAsia="仿宋_GB2312" w:cs="Times New Roman"/>
          <w:bCs/>
          <w:color w:val="auto"/>
          <w:sz w:val="32"/>
          <w:szCs w:val="32"/>
          <w:highlight w:val="none"/>
          <w:shd w:val="clear" w:color="auto" w:fill="auto"/>
          <w:lang w:eastAsia="zh-CN"/>
        </w:rPr>
        <w:t>省四星级成长型新型智慧城市。</w:t>
      </w:r>
      <w:r>
        <w:rPr>
          <w:rFonts w:ascii="Times New Roman" w:hAnsi="Times New Roman" w:eastAsia="仿宋_GB2312" w:cs="Times New Roman"/>
          <w:bCs/>
          <w:color w:val="auto"/>
          <w:sz w:val="32"/>
          <w:szCs w:val="32"/>
          <w:highlight w:val="none"/>
          <w:shd w:val="clear" w:color="auto" w:fill="auto"/>
          <w:lang w:val="en-US" w:eastAsia="zh-CN"/>
        </w:rPr>
        <w:t>石横镇蝉联</w:t>
      </w:r>
      <w:r>
        <w:rPr>
          <w:rFonts w:ascii="Times New Roman" w:hAnsi="Times New Roman" w:eastAsia="仿宋_GB2312" w:cs="Times New Roman"/>
          <w:bCs/>
          <w:color w:val="auto"/>
          <w:sz w:val="32"/>
          <w:szCs w:val="32"/>
          <w:highlight w:val="none"/>
          <w:shd w:val="clear" w:color="auto" w:fill="auto"/>
          <w:lang w:eastAsia="zh-CN"/>
        </w:rPr>
        <w:t>全国综合实</w:t>
      </w:r>
      <w:bookmarkStart w:id="0" w:name="_GoBack"/>
      <w:bookmarkEnd w:id="0"/>
      <w:r>
        <w:rPr>
          <w:rFonts w:ascii="Times New Roman" w:hAnsi="Times New Roman" w:eastAsia="仿宋_GB2312" w:cs="Times New Roman"/>
          <w:bCs/>
          <w:color w:val="auto"/>
          <w:sz w:val="32"/>
          <w:szCs w:val="32"/>
          <w:highlight w:val="none"/>
          <w:shd w:val="clear" w:color="auto" w:fill="auto"/>
          <w:lang w:eastAsia="zh-CN"/>
        </w:rPr>
        <w:t>力千强镇。</w:t>
      </w:r>
      <w:r>
        <w:rPr>
          <w:rFonts w:ascii="Times New Roman" w:hAnsi="Times New Roman" w:eastAsia="仿宋_GB2312" w:cs="Times New Roman"/>
          <w:b/>
          <w:bCs/>
          <w:sz w:val="32"/>
          <w:szCs w:val="32"/>
          <w:lang w:val="en-US" w:eastAsia="zh-CN"/>
        </w:rPr>
        <w:t>社会保障服务更加有力。</w:t>
      </w:r>
      <w:r>
        <w:rPr>
          <w:rFonts w:ascii="Times New Roman" w:hAnsi="Times New Roman" w:eastAsia="仿宋_GB2312" w:cs="Times New Roman"/>
          <w:b w:val="0"/>
          <w:bCs w:val="0"/>
          <w:sz w:val="32"/>
          <w:szCs w:val="32"/>
          <w:lang w:val="en-US" w:eastAsia="zh-CN"/>
        </w:rPr>
        <w:t>新增城镇就业1.1万人，发放创业担保</w:t>
      </w:r>
      <w:r>
        <w:rPr>
          <w:rFonts w:ascii="Times New Roman" w:hAnsi="Times New Roman" w:eastAsia="仿宋_GB2312" w:cs="Times New Roman"/>
          <w:bCs/>
          <w:color w:val="auto"/>
          <w:sz w:val="32"/>
          <w:szCs w:val="32"/>
          <w:highlight w:val="none"/>
          <w:shd w:val="clear" w:color="auto" w:fill="auto"/>
          <w:lang w:eastAsia="zh-CN"/>
        </w:rPr>
        <w:t>贷款</w:t>
      </w:r>
      <w:r>
        <w:rPr>
          <w:rFonts w:ascii="Times New Roman" w:hAnsi="Times New Roman" w:eastAsia="仿宋_GB2312" w:cs="Times New Roman"/>
          <w:bCs/>
          <w:color w:val="auto"/>
          <w:sz w:val="32"/>
          <w:szCs w:val="32"/>
          <w:highlight w:val="none"/>
          <w:shd w:val="clear" w:color="auto" w:fill="auto"/>
          <w:lang w:val="en-US" w:eastAsia="zh-CN"/>
        </w:rPr>
        <w:t>1.1亿</w:t>
      </w:r>
      <w:r>
        <w:rPr>
          <w:rFonts w:ascii="Times New Roman" w:hAnsi="Times New Roman" w:eastAsia="仿宋_GB2312" w:cs="Times New Roman"/>
          <w:bCs/>
          <w:color w:val="auto"/>
          <w:sz w:val="32"/>
          <w:szCs w:val="32"/>
          <w:highlight w:val="none"/>
          <w:shd w:val="clear" w:color="auto" w:fill="auto"/>
          <w:lang w:eastAsia="zh-CN"/>
        </w:rPr>
        <w:t>元，</w:t>
      </w:r>
      <w:r>
        <w:rPr>
          <w:rFonts w:ascii="Times New Roman" w:hAnsi="Times New Roman" w:eastAsia="仿宋_GB2312" w:cs="Times New Roman"/>
          <w:b w:val="0"/>
          <w:bCs w:val="0"/>
          <w:color w:val="auto"/>
          <w:sz w:val="32"/>
          <w:szCs w:val="32"/>
          <w:highlight w:val="none"/>
          <w:shd w:val="clear" w:color="auto" w:fill="auto"/>
          <w:lang w:val="en-US" w:eastAsia="zh-CN"/>
        </w:rPr>
        <w:t>社区微业促进</w:t>
      </w:r>
      <w:r>
        <w:rPr>
          <w:rFonts w:ascii="Times New Roman" w:hAnsi="Times New Roman" w:eastAsia="仿宋_GB2312" w:cs="Times New Roman"/>
          <w:bCs/>
          <w:color w:val="auto"/>
          <w:sz w:val="32"/>
          <w:szCs w:val="32"/>
          <w:highlight w:val="none"/>
          <w:shd w:val="clear" w:color="auto" w:fill="auto"/>
          <w:lang w:val="en-US" w:eastAsia="zh-CN"/>
        </w:rPr>
        <w:t>3500</w:t>
      </w:r>
      <w:r>
        <w:rPr>
          <w:rFonts w:ascii="Times New Roman" w:hAnsi="Times New Roman" w:eastAsia="仿宋_GB2312" w:cs="Times New Roman"/>
          <w:bCs/>
          <w:color w:val="auto"/>
          <w:sz w:val="32"/>
          <w:szCs w:val="32"/>
          <w:highlight w:val="none"/>
          <w:shd w:val="clear" w:color="auto" w:fill="auto"/>
          <w:lang w:eastAsia="zh-CN"/>
        </w:rPr>
        <w:t>人实现“家门口”就业。</w:t>
      </w:r>
      <w:r>
        <w:rPr>
          <w:rFonts w:ascii="Times New Roman" w:hAnsi="Times New Roman" w:eastAsia="仿宋_GB2312" w:cs="Times New Roman"/>
          <w:b w:val="0"/>
          <w:bCs w:val="0"/>
          <w:color w:val="auto"/>
          <w:sz w:val="32"/>
          <w:szCs w:val="32"/>
          <w:highlight w:val="none"/>
          <w:shd w:val="clear" w:color="auto" w:fill="auto"/>
          <w:lang w:val="en-US" w:eastAsia="zh-CN"/>
        </w:rPr>
        <w:t>企业职工养老保险新增9885人。</w:t>
      </w:r>
      <w:r>
        <w:rPr>
          <w:rFonts w:ascii="Times New Roman" w:hAnsi="Times New Roman" w:eastAsia="仿宋_GB2312" w:cs="Times New Roman"/>
          <w:bCs/>
          <w:color w:val="auto"/>
          <w:sz w:val="32"/>
          <w:szCs w:val="32"/>
          <w:highlight w:val="none"/>
          <w:shd w:val="clear" w:color="auto" w:fill="auto"/>
          <w:lang w:eastAsia="zh-CN"/>
        </w:rPr>
        <w:t>新</w:t>
      </w:r>
      <w:r>
        <w:rPr>
          <w:rFonts w:ascii="Times New Roman" w:hAnsi="Times New Roman" w:eastAsia="仿宋_GB2312" w:cs="Times New Roman"/>
          <w:bCs/>
          <w:color w:val="auto"/>
          <w:sz w:val="32"/>
          <w:szCs w:val="32"/>
          <w:highlight w:val="none"/>
          <w:shd w:val="clear" w:color="auto" w:fill="auto"/>
          <w:lang w:val="en-US" w:eastAsia="zh-CN"/>
        </w:rPr>
        <w:t>纳入</w:t>
      </w:r>
      <w:r>
        <w:rPr>
          <w:rFonts w:ascii="Times New Roman" w:hAnsi="Times New Roman" w:eastAsia="仿宋_GB2312" w:cs="Times New Roman"/>
          <w:bCs/>
          <w:color w:val="auto"/>
          <w:sz w:val="32"/>
          <w:szCs w:val="32"/>
          <w:highlight w:val="none"/>
          <w:shd w:val="clear" w:color="auto" w:fill="auto"/>
          <w:lang w:eastAsia="zh-CN"/>
        </w:rPr>
        <w:t>低保、低保边缘家庭、特困等1312人，</w:t>
      </w:r>
      <w:r>
        <w:rPr>
          <w:rFonts w:ascii="Times New Roman" w:hAnsi="Times New Roman" w:eastAsia="仿宋_GB2312" w:cs="Times New Roman"/>
          <w:bCs/>
          <w:color w:val="auto"/>
          <w:sz w:val="32"/>
          <w:szCs w:val="32"/>
          <w:highlight w:val="none"/>
          <w:shd w:val="clear" w:color="auto" w:fill="auto"/>
          <w:lang w:val="en-US" w:eastAsia="zh-CN"/>
        </w:rPr>
        <w:t>获批</w:t>
      </w:r>
      <w:r>
        <w:rPr>
          <w:rFonts w:ascii="Times New Roman" w:hAnsi="Times New Roman" w:eastAsia="仿宋_GB2312" w:cs="Times New Roman"/>
          <w:bCs/>
          <w:color w:val="auto"/>
          <w:sz w:val="32"/>
          <w:szCs w:val="32"/>
          <w:highlight w:val="none"/>
          <w:shd w:val="clear" w:color="auto" w:fill="auto"/>
          <w:lang w:eastAsia="zh-CN"/>
        </w:rPr>
        <w:t>全国服务类社会救助、“两项政策”衔接并轨试点。</w:t>
      </w:r>
      <w:r>
        <w:rPr>
          <w:rFonts w:ascii="Times New Roman" w:hAnsi="Times New Roman" w:eastAsia="仿宋_GB2312" w:cs="Times New Roman"/>
          <w:bCs/>
          <w:color w:val="auto"/>
          <w:sz w:val="32"/>
          <w:szCs w:val="32"/>
          <w:highlight w:val="none"/>
          <w:shd w:val="clear" w:color="auto" w:fill="auto"/>
          <w:lang w:val="en-US" w:eastAsia="zh-CN"/>
        </w:rPr>
        <w:t>九如城康养中心正式启用，新增社区老年“幸福食堂”8处。</w:t>
      </w:r>
      <w:r>
        <w:rPr>
          <w:rFonts w:ascii="Times New Roman" w:hAnsi="Times New Roman" w:eastAsia="仿宋_GB2312" w:cs="Times New Roman"/>
          <w:b w:val="0"/>
          <w:bCs w:val="0"/>
          <w:color w:val="auto"/>
          <w:sz w:val="32"/>
          <w:szCs w:val="32"/>
          <w:highlight w:val="none"/>
          <w:shd w:val="clear" w:color="auto" w:fill="auto"/>
          <w:lang w:val="en-US" w:eastAsia="zh-CN"/>
        </w:rPr>
        <w:t>新改建中小学、幼儿园6所，</w:t>
      </w:r>
      <w:r>
        <w:rPr>
          <w:rFonts w:ascii="Times New Roman" w:hAnsi="Times New Roman" w:eastAsia="仿宋_GB2312" w:cs="Times New Roman"/>
          <w:bCs/>
          <w:color w:val="auto"/>
          <w:sz w:val="32"/>
          <w:szCs w:val="32"/>
          <w:highlight w:val="none"/>
          <w:shd w:val="clear" w:color="auto" w:fill="auto"/>
          <w:lang w:val="en-US" w:eastAsia="zh-CN"/>
        </w:rPr>
        <w:t>新增校舍面积</w:t>
      </w:r>
      <w:r>
        <w:rPr>
          <w:rFonts w:ascii="Times New Roman" w:hAnsi="Times New Roman" w:eastAsia="仿宋_GB2312" w:cs="Times New Roman"/>
          <w:b w:val="0"/>
          <w:bCs w:val="0"/>
          <w:color w:val="auto"/>
          <w:sz w:val="32"/>
          <w:szCs w:val="32"/>
          <w:highlight w:val="none"/>
          <w:shd w:val="clear" w:color="auto" w:fill="auto"/>
          <w:lang w:val="en-US" w:eastAsia="zh-CN"/>
        </w:rPr>
        <w:t>11.4</w:t>
      </w:r>
      <w:r>
        <w:rPr>
          <w:rFonts w:ascii="Times New Roman" w:hAnsi="Times New Roman" w:eastAsia="仿宋_GB2312" w:cs="Times New Roman"/>
          <w:bCs/>
          <w:color w:val="auto"/>
          <w:sz w:val="32"/>
          <w:szCs w:val="32"/>
          <w:highlight w:val="none"/>
          <w:shd w:val="clear" w:color="auto" w:fill="auto"/>
          <w:lang w:val="en-US" w:eastAsia="zh-CN"/>
        </w:rPr>
        <w:t>万平方米，学前教育普惠覆盖率达到98%，</w:t>
      </w:r>
      <w:r>
        <w:rPr>
          <w:rFonts w:ascii="Times New Roman" w:hAnsi="Times New Roman" w:eastAsia="仿宋_GB2312" w:cs="Times New Roman"/>
          <w:bCs/>
          <w:color w:val="auto"/>
          <w:sz w:val="32"/>
          <w:szCs w:val="32"/>
          <w:highlight w:val="none"/>
          <w:shd w:val="clear" w:color="auto" w:fill="auto"/>
          <w:lang w:eastAsia="zh-CN"/>
        </w:rPr>
        <w:t>夏季高考应届本科录取率高于全省7.4个百分点。泰山技师学院获批初中后五年制高等</w:t>
      </w:r>
      <w:r>
        <w:rPr>
          <w:rFonts w:ascii="Times New Roman" w:hAnsi="Times New Roman" w:eastAsia="仿宋_GB2312" w:cs="Times New Roman"/>
          <w:bCs/>
          <w:color w:val="auto"/>
          <w:sz w:val="32"/>
          <w:szCs w:val="32"/>
          <w:highlight w:val="none"/>
          <w:u w:val="none"/>
          <w:shd w:val="clear" w:color="auto" w:fill="auto"/>
          <w:lang w:eastAsia="zh-CN"/>
        </w:rPr>
        <w:t>职业教育专业点。妇幼保健院新院、疾控中心检验检测大楼投入使用，</w:t>
      </w:r>
      <w:r>
        <w:rPr>
          <w:rFonts w:ascii="Times New Roman" w:hAnsi="Times New Roman" w:eastAsia="仿宋_GB2312" w:cs="Times New Roman"/>
          <w:b w:val="0"/>
          <w:bCs w:val="0"/>
          <w:color w:val="auto"/>
          <w:sz w:val="32"/>
          <w:szCs w:val="32"/>
          <w:highlight w:val="none"/>
          <w:shd w:val="clear" w:color="auto" w:fill="auto"/>
          <w:lang w:val="en-US" w:eastAsia="zh-CN"/>
        </w:rPr>
        <w:t>通过省医养结合高质量发展创新引领县验收</w:t>
      </w:r>
      <w:r>
        <w:rPr>
          <w:rFonts w:ascii="Times New Roman" w:hAnsi="Times New Roman" w:eastAsia="仿宋_GB2312" w:cs="Times New Roman"/>
          <w:bCs/>
          <w:color w:val="auto"/>
          <w:sz w:val="32"/>
          <w:szCs w:val="32"/>
          <w:highlight w:val="none"/>
          <w:u w:val="none"/>
          <w:shd w:val="clear" w:color="auto" w:fill="auto"/>
          <w:lang w:eastAsia="zh-CN"/>
        </w:rPr>
        <w:t>。</w:t>
      </w:r>
      <w:r>
        <w:rPr>
          <w:rFonts w:ascii="Times New Roman" w:hAnsi="Times New Roman" w:eastAsia="仿宋_GB2312" w:cs="Times New Roman"/>
          <w:b/>
          <w:bCs/>
          <w:sz w:val="32"/>
          <w:szCs w:val="32"/>
          <w:lang w:val="en-US" w:eastAsia="zh-CN"/>
        </w:rPr>
        <w:t>文旅事业更加繁荣。</w:t>
      </w:r>
      <w:r>
        <w:rPr>
          <w:rFonts w:ascii="Times New Roman" w:hAnsi="Times New Roman" w:eastAsia="仿宋_GB2312" w:cs="Times New Roman"/>
          <w:bCs/>
          <w:color w:val="auto"/>
          <w:sz w:val="32"/>
          <w:szCs w:val="32"/>
          <w:highlight w:val="none"/>
          <w:u w:val="none"/>
          <w:shd w:val="clear" w:color="auto" w:fill="auto"/>
          <w:lang w:eastAsia="zh-CN"/>
        </w:rPr>
        <w:t>开展文化惠民活动1800余场次，陆房突围胜利纪念馆</w:t>
      </w:r>
      <w:r>
        <w:rPr>
          <w:rFonts w:ascii="Times New Roman" w:hAnsi="Times New Roman" w:eastAsia="仿宋_GB2312" w:cs="Times New Roman"/>
          <w:bCs/>
          <w:color w:val="auto"/>
          <w:sz w:val="32"/>
          <w:szCs w:val="32"/>
          <w:highlight w:val="none"/>
          <w:u w:val="none"/>
          <w:shd w:val="clear" w:color="auto" w:fill="auto"/>
          <w:lang w:val="en-US" w:eastAsia="zh-CN"/>
        </w:rPr>
        <w:t>晋升</w:t>
      </w:r>
      <w:r>
        <w:rPr>
          <w:rFonts w:ascii="Times New Roman" w:hAnsi="Times New Roman" w:eastAsia="仿宋_GB2312" w:cs="Times New Roman"/>
          <w:bCs/>
          <w:color w:val="auto"/>
          <w:sz w:val="32"/>
          <w:szCs w:val="32"/>
          <w:highlight w:val="none"/>
          <w:u w:val="none"/>
          <w:shd w:val="clear" w:color="auto" w:fill="auto"/>
          <w:lang w:eastAsia="zh-CN"/>
        </w:rPr>
        <w:t>国家二级博物馆，“桃木雕刻”入围全省非遗助力乡村振兴典型案例。</w:t>
      </w:r>
      <w:r>
        <w:rPr>
          <w:rFonts w:ascii="Times New Roman" w:hAnsi="Times New Roman" w:eastAsia="仿宋_GB2312" w:cs="Times New Roman"/>
          <w:bCs/>
          <w:color w:val="auto"/>
          <w:sz w:val="32"/>
          <w:szCs w:val="32"/>
          <w:highlight w:val="none"/>
          <w:u w:val="none"/>
          <w:shd w:val="clear" w:color="auto" w:fill="auto"/>
          <w:lang w:val="en-US" w:eastAsia="zh-CN"/>
        </w:rPr>
        <w:t>高水平举办“两节一赛”，五埠伙大门入选“山东精品旅游十大乡村旅游经典案例”，</w:t>
      </w:r>
      <w:r>
        <w:rPr>
          <w:rFonts w:ascii="Times New Roman" w:hAnsi="Times New Roman" w:eastAsia="仿宋_GB2312" w:cs="Times New Roman"/>
          <w:b/>
          <w:bCs/>
          <w:sz w:val="32"/>
          <w:szCs w:val="32"/>
          <w:lang w:val="en-US" w:eastAsia="zh-CN"/>
        </w:rPr>
        <w:t>生态环境更加优良。</w:t>
      </w:r>
      <w:r>
        <w:rPr>
          <w:rFonts w:ascii="Times New Roman" w:hAnsi="Times New Roman" w:eastAsia="仿宋_GB2312" w:cs="Times New Roman"/>
          <w:b w:val="0"/>
          <w:bCs w:val="0"/>
          <w:color w:val="auto"/>
          <w:sz w:val="32"/>
          <w:szCs w:val="32"/>
          <w:highlight w:val="none"/>
          <w:shd w:val="clear" w:color="auto" w:fill="auto"/>
          <w:lang w:val="en-US" w:eastAsia="zh-CN"/>
        </w:rPr>
        <w:t>优良天数比例达到75.8%、超全年目标5.4个百分点，</w:t>
      </w:r>
      <w:r>
        <w:rPr>
          <w:rFonts w:ascii="Times New Roman" w:hAnsi="Times New Roman" w:eastAsia="仿宋_GB2312" w:cs="Times New Roman"/>
          <w:bCs/>
          <w:color w:val="auto"/>
          <w:sz w:val="32"/>
          <w:szCs w:val="32"/>
          <w:highlight w:val="none"/>
          <w:shd w:val="clear" w:color="auto" w:fill="auto"/>
          <w:lang w:eastAsia="zh-CN"/>
        </w:rPr>
        <w:t>省控陈屯桥断面水质同比</w:t>
      </w:r>
      <w:r>
        <w:rPr>
          <w:rFonts w:ascii="Times New Roman" w:hAnsi="Times New Roman" w:eastAsia="仿宋_GB2312" w:cs="Times New Roman"/>
          <w:b w:val="0"/>
          <w:bCs w:val="0"/>
          <w:color w:val="auto"/>
          <w:sz w:val="32"/>
          <w:szCs w:val="32"/>
          <w:highlight w:val="none"/>
          <w:shd w:val="clear" w:color="auto" w:fill="auto"/>
          <w:lang w:val="en-US" w:eastAsia="zh-CN"/>
        </w:rPr>
        <w:t>改善13.6%，</w:t>
      </w:r>
      <w:r>
        <w:rPr>
          <w:rFonts w:ascii="Times New Roman" w:hAnsi="Times New Roman" w:eastAsia="仿宋_GB2312" w:cs="Times New Roman"/>
          <w:bCs/>
          <w:color w:val="auto"/>
          <w:sz w:val="32"/>
          <w:szCs w:val="32"/>
          <w:highlight w:val="none"/>
          <w:shd w:val="clear" w:color="auto" w:fill="auto"/>
          <w:lang w:eastAsia="zh-CN"/>
        </w:rPr>
        <w:t>重点建设用地安全利用率保持100%，治理水土流失24平方公里，</w:t>
      </w:r>
      <w:r>
        <w:rPr>
          <w:rFonts w:ascii="Times New Roman" w:hAnsi="Times New Roman" w:eastAsia="仿宋_GB2312" w:cs="Times New Roman"/>
          <w:b w:val="0"/>
          <w:bCs w:val="0"/>
          <w:color w:val="auto"/>
          <w:sz w:val="32"/>
          <w:szCs w:val="32"/>
          <w:highlight w:val="none"/>
          <w:shd w:val="clear" w:color="auto" w:fill="auto"/>
          <w:lang w:val="en-US" w:eastAsia="zh-CN"/>
        </w:rPr>
        <w:t>修复历史遗留矿山12处，新增耕地3.2万亩，</w:t>
      </w:r>
      <w:r>
        <w:rPr>
          <w:rFonts w:ascii="Times New Roman" w:hAnsi="Times New Roman" w:eastAsia="仿宋_GB2312" w:cs="Times New Roman"/>
          <w:bCs/>
          <w:color w:val="auto"/>
          <w:sz w:val="32"/>
          <w:szCs w:val="32"/>
          <w:highlight w:val="none"/>
          <w:shd w:val="clear" w:color="auto" w:fill="auto"/>
          <w:lang w:eastAsia="zh-CN"/>
        </w:rPr>
        <w:t>完成造林绿化873亩、森林抚育1500亩，大汶河砖舍拦河闸</w:t>
      </w:r>
      <w:r>
        <w:rPr>
          <w:rFonts w:ascii="Times New Roman" w:hAnsi="Times New Roman" w:eastAsia="仿宋_GB2312" w:cs="Times New Roman"/>
          <w:b w:val="0"/>
          <w:bCs w:val="0"/>
          <w:color w:val="auto"/>
          <w:sz w:val="32"/>
          <w:szCs w:val="32"/>
          <w:highlight w:val="none"/>
          <w:shd w:val="clear" w:color="auto" w:fill="auto"/>
          <w:lang w:val="en-US" w:eastAsia="zh-CN"/>
        </w:rPr>
        <w:t>工程</w:t>
      </w:r>
      <w:r>
        <w:rPr>
          <w:rFonts w:ascii="Times New Roman" w:hAnsi="Times New Roman" w:eastAsia="仿宋_GB2312" w:cs="Times New Roman"/>
          <w:bCs/>
          <w:color w:val="auto"/>
          <w:sz w:val="32"/>
          <w:szCs w:val="32"/>
          <w:highlight w:val="none"/>
          <w:shd w:val="clear" w:color="auto" w:fill="auto"/>
          <w:lang w:val="en-US" w:eastAsia="zh-CN"/>
        </w:rPr>
        <w:t>进入试运行阶段</w:t>
      </w:r>
      <w:r>
        <w:rPr>
          <w:rFonts w:ascii="Times New Roman" w:hAnsi="Times New Roman" w:eastAsia="仿宋_GB2312" w:cs="Times New Roman"/>
          <w:bCs/>
          <w:color w:val="auto"/>
          <w:sz w:val="32"/>
          <w:szCs w:val="32"/>
          <w:highlight w:val="none"/>
          <w:shd w:val="clear" w:color="auto" w:fill="auto"/>
          <w:lang w:eastAsia="zh-CN"/>
        </w:rPr>
        <w:t>。</w:t>
      </w:r>
      <w:r>
        <w:rPr>
          <w:rFonts w:ascii="Times New Roman" w:hAnsi="Times New Roman" w:eastAsia="仿宋_GB2312" w:cs="Times New Roman"/>
          <w:bCs/>
          <w:color w:val="auto"/>
          <w:sz w:val="32"/>
          <w:szCs w:val="32"/>
          <w:highlight w:val="none"/>
          <w:shd w:val="clear" w:color="auto" w:fill="auto"/>
          <w:lang w:val="en-US" w:eastAsia="zh-CN"/>
        </w:rPr>
        <w:t>开工建设汶阳田灌区，新增及提升灌溉面积10万亩。</w:t>
      </w:r>
      <w:r>
        <w:rPr>
          <w:rFonts w:ascii="Times New Roman" w:hAnsi="Times New Roman" w:eastAsia="仿宋_GB2312" w:cs="Times New Roman"/>
          <w:bCs/>
          <w:color w:val="auto"/>
          <w:sz w:val="32"/>
          <w:szCs w:val="32"/>
          <w:highlight w:val="none"/>
          <w:shd w:val="clear" w:color="auto" w:fill="auto"/>
          <w:lang w:eastAsia="zh-CN"/>
        </w:rPr>
        <w:t>化工产业园成功创建省级“无废园区”，精制盐厂、泰鹏环保</w:t>
      </w:r>
      <w:r>
        <w:rPr>
          <w:rFonts w:ascii="Times New Roman" w:hAnsi="Times New Roman" w:eastAsia="仿宋_GB2312" w:cs="Times New Roman"/>
          <w:b w:val="0"/>
          <w:bCs w:val="0"/>
          <w:color w:val="auto"/>
          <w:sz w:val="32"/>
          <w:szCs w:val="32"/>
          <w:highlight w:val="none"/>
          <w:shd w:val="clear" w:color="auto" w:fill="auto"/>
          <w:lang w:val="en-US" w:eastAsia="zh-CN"/>
        </w:rPr>
        <w:t>入选国家级绿色工厂。</w:t>
      </w:r>
      <w:r>
        <w:rPr>
          <w:rFonts w:ascii="Times New Roman" w:hAnsi="Times New Roman" w:eastAsia="仿宋_GB2312" w:cs="Times New Roman"/>
          <w:b/>
          <w:bCs/>
          <w:color w:val="auto"/>
          <w:sz w:val="32"/>
          <w:szCs w:val="32"/>
          <w:highlight w:val="none"/>
          <w:shd w:val="clear" w:color="auto" w:fill="auto"/>
          <w:lang w:val="en-US" w:eastAsia="zh-CN"/>
        </w:rPr>
        <w:t>社会治理更加高效。</w:t>
      </w:r>
      <w:r>
        <w:rPr>
          <w:rFonts w:ascii="Times New Roman" w:hAnsi="Times New Roman" w:eastAsia="仿宋_GB2312" w:cs="Times New Roman"/>
          <w:b w:val="0"/>
          <w:bCs/>
          <w:color w:val="auto"/>
          <w:sz w:val="32"/>
          <w:szCs w:val="32"/>
          <w:highlight w:val="none"/>
          <w:shd w:val="clear" w:color="auto" w:fill="auto"/>
          <w:lang w:eastAsia="zh-CN"/>
        </w:rPr>
        <w:t>扎实开展安全生产治本攻坚三年行动，</w:t>
      </w:r>
      <w:r>
        <w:rPr>
          <w:rFonts w:ascii="Times New Roman" w:hAnsi="Times New Roman" w:eastAsia="仿宋_GB2312" w:cs="Times New Roman"/>
          <w:b w:val="0"/>
          <w:bCs/>
          <w:color w:val="auto"/>
          <w:sz w:val="32"/>
          <w:szCs w:val="32"/>
          <w:highlight w:val="none"/>
          <w:shd w:val="clear" w:color="auto" w:fill="auto"/>
          <w:lang w:val="en-US" w:eastAsia="zh-CN"/>
        </w:rPr>
        <w:t>安全形势持续平稳。</w:t>
      </w:r>
      <w:r>
        <w:rPr>
          <w:rFonts w:ascii="Times New Roman" w:hAnsi="Times New Roman" w:eastAsia="仿宋_GB2312" w:cs="Times New Roman"/>
          <w:b w:val="0"/>
          <w:bCs/>
          <w:color w:val="auto"/>
          <w:sz w:val="32"/>
          <w:szCs w:val="32"/>
          <w:highlight w:val="none"/>
          <w:shd w:val="clear" w:color="auto" w:fill="auto"/>
          <w:lang w:eastAsia="zh-CN"/>
        </w:rPr>
        <w:t>健全从“农田到餐桌”全链条食品安全监管体系，79家学校、25家养老机构食堂达到清洁厨房标准。常态化开展扫黑除恶斗争，推动“一站式”矛盾纠纷调解中心规范化建设，统筹抓好地方债、房地产、金融领域风险防控，平安肥城</w:t>
      </w:r>
      <w:r>
        <w:rPr>
          <w:rFonts w:ascii="Times New Roman" w:hAnsi="Times New Roman" w:eastAsia="仿宋_GB2312" w:cs="Times New Roman"/>
          <w:b w:val="0"/>
          <w:bCs/>
          <w:color w:val="auto"/>
          <w:sz w:val="32"/>
          <w:szCs w:val="32"/>
          <w:highlight w:val="none"/>
          <w:shd w:val="clear" w:color="auto" w:fill="auto"/>
          <w:lang w:val="en-US" w:eastAsia="zh-CN"/>
        </w:rPr>
        <w:t>建设深入推进。</w:t>
      </w:r>
      <w:r>
        <w:rPr>
          <w:rFonts w:ascii="Times New Roman" w:hAnsi="Times New Roman" w:eastAsia="仿宋_GB2312" w:cs="Times New Roman"/>
          <w:b w:val="0"/>
          <w:bCs/>
          <w:color w:val="auto"/>
          <w:spacing w:val="2"/>
          <w:sz w:val="32"/>
          <w:szCs w:val="32"/>
          <w:highlight w:val="none"/>
          <w:shd w:val="clear" w:color="auto" w:fill="auto"/>
          <w:lang w:eastAsia="zh-CN"/>
        </w:rPr>
        <w:t>妇女儿童、青少年、退役军人、残疾人权益得到充分保障，民族宗教、国防动员、人民防空、双拥共建等工作取得新的成效，审计、统计、气象、史志、对台等工作实现新的进步。</w:t>
      </w:r>
    </w:p>
    <w:p w14:paraId="150A6CF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8"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color w:val="auto"/>
          <w:spacing w:val="2"/>
          <w:sz w:val="32"/>
          <w:szCs w:val="32"/>
          <w:highlight w:val="none"/>
          <w:shd w:val="clear" w:color="auto" w:fill="auto"/>
          <w:lang w:eastAsia="zh-CN"/>
        </w:rPr>
        <w:t>成绩殊为不易，成绩的取得，根本在于习近平新时代中国特色社会主义思想科学指引，是</w:t>
      </w:r>
      <w:r>
        <w:rPr>
          <w:rFonts w:ascii="Times New Roman" w:hAnsi="Times New Roman" w:eastAsia="仿宋_GB2312" w:cs="Times New Roman"/>
          <w:b w:val="0"/>
          <w:bCs/>
          <w:color w:val="auto"/>
          <w:spacing w:val="2"/>
          <w:sz w:val="32"/>
          <w:szCs w:val="32"/>
          <w:highlight w:val="none"/>
          <w:shd w:val="clear" w:color="auto" w:fill="auto"/>
          <w:lang w:val="en-US" w:eastAsia="zh-CN"/>
        </w:rPr>
        <w:t>市</w:t>
      </w:r>
      <w:r>
        <w:rPr>
          <w:rFonts w:ascii="Times New Roman" w:hAnsi="Times New Roman" w:eastAsia="仿宋_GB2312" w:cs="Times New Roman"/>
          <w:b w:val="0"/>
          <w:bCs/>
          <w:color w:val="auto"/>
          <w:spacing w:val="2"/>
          <w:sz w:val="32"/>
          <w:szCs w:val="32"/>
          <w:highlight w:val="none"/>
          <w:shd w:val="clear" w:color="auto" w:fill="auto"/>
          <w:lang w:eastAsia="zh-CN"/>
        </w:rPr>
        <w:t>委、</w:t>
      </w:r>
      <w:r>
        <w:rPr>
          <w:rFonts w:ascii="Times New Roman" w:hAnsi="Times New Roman" w:eastAsia="仿宋_GB2312" w:cs="Times New Roman"/>
          <w:b w:val="0"/>
          <w:bCs/>
          <w:color w:val="auto"/>
          <w:spacing w:val="2"/>
          <w:sz w:val="32"/>
          <w:szCs w:val="32"/>
          <w:highlight w:val="none"/>
          <w:shd w:val="clear" w:color="auto" w:fill="auto"/>
          <w:lang w:val="en-US" w:eastAsia="zh-CN"/>
        </w:rPr>
        <w:t>市</w:t>
      </w:r>
      <w:r>
        <w:rPr>
          <w:rFonts w:ascii="Times New Roman" w:hAnsi="Times New Roman" w:eastAsia="仿宋_GB2312" w:cs="Times New Roman"/>
          <w:b w:val="0"/>
          <w:bCs/>
          <w:color w:val="auto"/>
          <w:spacing w:val="2"/>
          <w:sz w:val="32"/>
          <w:szCs w:val="32"/>
          <w:highlight w:val="none"/>
          <w:shd w:val="clear" w:color="auto" w:fill="auto"/>
          <w:lang w:eastAsia="zh-CN"/>
        </w:rPr>
        <w:t>政府坚强领导、科学决策的结果，</w:t>
      </w:r>
      <w:r>
        <w:rPr>
          <w:rFonts w:ascii="Times New Roman" w:hAnsi="Times New Roman" w:eastAsia="仿宋_GB2312" w:cs="Times New Roman"/>
          <w:b w:val="0"/>
          <w:bCs/>
          <w:color w:val="auto"/>
          <w:spacing w:val="2"/>
          <w:sz w:val="32"/>
          <w:szCs w:val="32"/>
          <w:highlight w:val="none"/>
          <w:shd w:val="clear" w:color="auto" w:fill="auto"/>
          <w:lang w:val="en-US" w:eastAsia="zh-CN"/>
        </w:rPr>
        <w:t>得益于</w:t>
      </w:r>
      <w:r>
        <w:rPr>
          <w:rFonts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人大、</w:t>
      </w:r>
      <w:r>
        <w:rPr>
          <w:rFonts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政协的监督支持，</w:t>
      </w:r>
      <w:r>
        <w:rPr>
          <w:rFonts w:ascii="Times New Roman" w:hAnsi="Times New Roman" w:eastAsia="仿宋_GB2312" w:cs="Times New Roman"/>
          <w:sz w:val="32"/>
          <w:szCs w:val="32"/>
          <w:lang w:val="en-US" w:eastAsia="zh-CN"/>
        </w:rPr>
        <w:t>更离不开</w:t>
      </w:r>
      <w:r>
        <w:rPr>
          <w:rFonts w:ascii="Times New Roman" w:hAnsi="Times New Roman" w:eastAsia="仿宋_GB2312" w:cs="Times New Roman"/>
          <w:sz w:val="32"/>
          <w:szCs w:val="32"/>
        </w:rPr>
        <w:t>全</w:t>
      </w:r>
      <w:r>
        <w:rPr>
          <w:rFonts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上下</w:t>
      </w:r>
      <w:r>
        <w:rPr>
          <w:rFonts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团结奋斗。</w:t>
      </w:r>
    </w:p>
    <w:p w14:paraId="37F44B4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8"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b w:val="0"/>
          <w:bCs/>
          <w:color w:val="auto"/>
          <w:spacing w:val="2"/>
          <w:sz w:val="32"/>
          <w:szCs w:val="32"/>
          <w:highlight w:val="none"/>
          <w:shd w:val="clear" w:color="auto" w:fill="auto"/>
          <w:lang w:val="en-US" w:eastAsia="zh-CN"/>
        </w:rPr>
        <w:t>同时，我们也清醒认识到，全市经济社会发展仍然面临不少困难挑战：</w:t>
      </w:r>
      <w:r>
        <w:rPr>
          <w:rFonts w:ascii="Times New Roman" w:hAnsi="Times New Roman" w:eastAsia="仿宋_GB2312" w:cs="Times New Roman"/>
          <w:bCs/>
          <w:color w:val="auto"/>
          <w:sz w:val="32"/>
          <w:szCs w:val="32"/>
          <w:highlight w:val="none"/>
          <w:shd w:val="clear" w:color="auto" w:fill="auto"/>
          <w:lang w:val="en-US" w:eastAsia="zh-CN"/>
        </w:rPr>
        <w:t>市场有效需求、企业投资信心仍然不足，</w:t>
      </w:r>
      <w:r>
        <w:rPr>
          <w:rFonts w:ascii="Times New Roman" w:hAnsi="Times New Roman" w:eastAsia="仿宋_GB2312" w:cs="Times New Roman"/>
          <w:sz w:val="32"/>
          <w:szCs w:val="32"/>
        </w:rPr>
        <w:t>经济回升向好基础仍不牢固</w:t>
      </w:r>
      <w:r>
        <w:rPr>
          <w:rFonts w:ascii="Times New Roman" w:hAnsi="Times New Roman" w:eastAsia="仿宋_GB2312" w:cs="Times New Roman"/>
          <w:bCs/>
          <w:color w:val="auto"/>
          <w:sz w:val="32"/>
          <w:szCs w:val="32"/>
          <w:highlight w:val="none"/>
          <w:shd w:val="clear" w:color="auto" w:fill="auto"/>
          <w:lang w:val="en-US" w:eastAsia="zh-CN"/>
        </w:rPr>
        <w:t>；现代化产业体系构建还不完善，产业转型升级仍需加力提速；城市功能品质还存在短板，城市更新和重点区域建设还需加快；部分重点领域风险不容忽视；</w:t>
      </w:r>
      <w:r>
        <w:rPr>
          <w:rFonts w:ascii="Times New Roman" w:hAnsi="Times New Roman" w:eastAsia="仿宋_GB2312" w:cs="Times New Roman"/>
          <w:sz w:val="32"/>
          <w:szCs w:val="32"/>
        </w:rPr>
        <w:t>民生保障还需不断加强</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lang w:val="en-US" w:eastAsia="zh-CN"/>
        </w:rPr>
        <w:t>需要</w:t>
      </w:r>
      <w:r>
        <w:rPr>
          <w:rFonts w:ascii="Times New Roman" w:hAnsi="Times New Roman" w:eastAsia="仿宋_GB2312" w:cs="Times New Roman"/>
          <w:sz w:val="32"/>
          <w:szCs w:val="32"/>
        </w:rPr>
        <w:t>采取有力措施加以解决。</w:t>
      </w:r>
    </w:p>
    <w:p w14:paraId="6989866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二、2025年经济社会发展总体思路和预期目标</w:t>
      </w:r>
    </w:p>
    <w:p w14:paraId="1F30747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sz w:val="32"/>
          <w:szCs w:val="32"/>
        </w:rPr>
        <w:t>2025年是贯彻落实党的二十届三中全会精神，推动“十四五”规划收官决胜的关键一年，做好今年各项工作意义重大。</w:t>
      </w:r>
      <w:r>
        <w:rPr>
          <w:rFonts w:ascii="Times New Roman" w:hAnsi="Times New Roman" w:eastAsia="仿宋_GB2312" w:cs="Times New Roman"/>
          <w:b w:val="0"/>
          <w:bCs/>
          <w:color w:val="auto"/>
          <w:spacing w:val="0"/>
          <w:sz w:val="32"/>
          <w:szCs w:val="32"/>
          <w:highlight w:val="none"/>
          <w:shd w:val="clear" w:color="auto" w:fill="auto"/>
          <w:lang w:val="en-US" w:eastAsia="zh-CN"/>
        </w:rPr>
        <w:t>按照市委十五届九次全体会议的部署要求，</w:t>
      </w:r>
      <w:r>
        <w:rPr>
          <w:rFonts w:ascii="Times New Roman" w:hAnsi="Times New Roman" w:eastAsia="仿宋_GB2312" w:cs="Times New Roman"/>
          <w:sz w:val="32"/>
          <w:szCs w:val="32"/>
        </w:rPr>
        <w:t>全年工作的总体思路：</w:t>
      </w:r>
      <w:r>
        <w:rPr>
          <w:rFonts w:ascii="Times New Roman" w:hAnsi="Times New Roman" w:eastAsia="楷体_GB2312" w:cs="Times New Roman"/>
          <w:b/>
          <w:bCs w:val="0"/>
          <w:color w:val="auto"/>
          <w:spacing w:val="0"/>
          <w:sz w:val="32"/>
          <w:szCs w:val="32"/>
          <w:highlight w:val="none"/>
          <w:shd w:val="clear" w:color="auto" w:fill="auto"/>
          <w:lang w:val="en-US" w:eastAsia="zh-CN"/>
        </w:rPr>
        <w:t>坚持以习近平新时代中国特色社会主义思想为指导，全面落实党的二十大和二十届二中、三中全会精神，深入贯彻习近平总书记对山东工作的重要指示要求，坚持稳中求进工作总基调，完整准确全面贯彻新发展理念，高扬创新实干、奋勇争先主旋律，深入实施新型工业化、乡村振兴、文旅融合、城市更新、共同富裕、安全发展“六大提质增效行动”，着力优化环境、激发活力、稳定预期、改善民生，推动经济持续稳健向好、进中提质，保持社会和谐稳定，高质量完成“十四五”规划目标任务，在新时代社会主义现代化强市建设进程中迈出更大步伐。</w:t>
      </w:r>
    </w:p>
    <w:p w14:paraId="32926205">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Times New Roman" w:hAnsi="Times New Roman" w:eastAsia="楷体_GB2312" w:cs="Times New Roman"/>
          <w:b/>
          <w:bCs w:val="0"/>
          <w:color w:val="auto"/>
          <w:spacing w:val="0"/>
          <w:sz w:val="32"/>
          <w:szCs w:val="32"/>
          <w:highlight w:val="none"/>
          <w:shd w:val="clear" w:color="auto" w:fill="auto"/>
          <w:lang w:val="en-US" w:eastAsia="zh-CN"/>
        </w:rPr>
      </w:pPr>
      <w:r>
        <w:rPr>
          <w:rFonts w:ascii="Times New Roman" w:hAnsi="Times New Roman" w:eastAsia="仿宋_GB2312" w:cs="Times New Roman"/>
          <w:b w:val="0"/>
          <w:bCs/>
          <w:color w:val="auto"/>
          <w:spacing w:val="0"/>
          <w:sz w:val="32"/>
          <w:szCs w:val="32"/>
          <w:highlight w:val="none"/>
          <w:shd w:val="clear" w:color="auto" w:fill="auto"/>
          <w:lang w:val="en-US" w:eastAsia="zh-CN"/>
        </w:rPr>
        <w:t>主要经济社会发展预期目标是：</w:t>
      </w:r>
      <w:r>
        <w:rPr>
          <w:rFonts w:ascii="Times New Roman" w:hAnsi="Times New Roman" w:eastAsia="楷体_GB2312" w:cs="Times New Roman"/>
          <w:b/>
          <w:bCs w:val="0"/>
          <w:color w:val="auto"/>
          <w:spacing w:val="0"/>
          <w:sz w:val="32"/>
          <w:szCs w:val="32"/>
          <w:highlight w:val="none"/>
          <w:shd w:val="clear" w:color="auto" w:fill="auto"/>
          <w:lang w:val="en-US" w:eastAsia="zh-CN"/>
        </w:rPr>
        <w:t>地区生产总值增长5.7%以上，一般公共预算收入增长0.5%以上，规模以上工业增加值增长8%左右，社会消费品零售总额增长7.4%左右，城镇和农村居民人均可支配收入分别增长4.5%、5.5%以上，外贸外资促稳提质，粮食种植面积、总产保持稳定；完成安全生产、生态环保、节能降碳等约束性指标。</w:t>
      </w:r>
    </w:p>
    <w:p w14:paraId="7814440B">
      <w:pPr>
        <w:keepNext w:val="0"/>
        <w:keepLines w:val="0"/>
        <w:pageBreakBefore w:val="0"/>
        <w:widowControl w:val="0"/>
        <w:kinsoku/>
        <w:wordWrap/>
        <w:overflowPunct/>
        <w:topLinePunct w:val="0"/>
        <w:bidi w:val="0"/>
        <w:adjustRightInd w:val="0"/>
        <w:snapToGrid w:val="0"/>
        <w:spacing w:line="560" w:lineRule="exact"/>
        <w:ind w:firstLine="640" w:firstLineChars="200"/>
        <w:rPr>
          <w:rFonts w:ascii="Times New Roman" w:hAnsi="Times New Roman" w:eastAsia="黑体" w:cs="Times New Roman"/>
          <w:sz w:val="32"/>
          <w:szCs w:val="32"/>
          <w:highlight w:val="yellow"/>
        </w:rPr>
      </w:pPr>
      <w:r>
        <w:rPr>
          <w:rFonts w:ascii="Times New Roman" w:hAnsi="Times New Roman" w:eastAsia="黑体" w:cs="Times New Roman"/>
          <w:sz w:val="32"/>
          <w:szCs w:val="32"/>
        </w:rPr>
        <w:t>三、2025年经济社会发展重点及措施</w:t>
      </w:r>
    </w:p>
    <w:p w14:paraId="0C533D6C">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ascii="Times New Roman" w:hAnsi="Times New Roman" w:eastAsia="仿宋_GB2312" w:cs="Times New Roman"/>
          <w:b w:val="0"/>
          <w:bCs w:val="0"/>
          <w:color w:val="auto"/>
          <w:spacing w:val="0"/>
          <w:sz w:val="32"/>
          <w:szCs w:val="32"/>
          <w:highlight w:val="none"/>
          <w:shd w:val="clear" w:color="auto" w:fill="auto"/>
          <w:lang w:val="en-US" w:eastAsia="zh-CN"/>
        </w:rPr>
      </w:pPr>
      <w:r>
        <w:rPr>
          <w:rFonts w:ascii="Times New Roman" w:hAnsi="Times New Roman" w:eastAsia="楷体_GB2312" w:cs="Times New Roman"/>
          <w:b/>
          <w:bCs/>
          <w:snapToGrid w:val="0"/>
          <w:color w:val="auto"/>
          <w:spacing w:val="0"/>
          <w:kern w:val="0"/>
          <w:sz w:val="32"/>
          <w:szCs w:val="32"/>
          <w:highlight w:val="none"/>
          <w:shd w:val="clear" w:color="auto" w:fill="auto"/>
          <w:lang w:val="en-US" w:eastAsia="zh-CN"/>
        </w:rPr>
        <w:t>（一）</w:t>
      </w:r>
      <w:r>
        <w:rPr>
          <w:rFonts w:ascii="Times New Roman" w:hAnsi="Times New Roman" w:eastAsia="楷体_GB2312" w:cs="Times New Roman"/>
          <w:b/>
          <w:bCs/>
          <w:snapToGrid w:val="0"/>
          <w:color w:val="auto"/>
          <w:spacing w:val="-6"/>
          <w:kern w:val="0"/>
          <w:sz w:val="32"/>
          <w:szCs w:val="32"/>
          <w:highlight w:val="none"/>
          <w:shd w:val="clear" w:color="auto" w:fill="auto"/>
          <w:lang w:val="en-US" w:eastAsia="zh-CN"/>
        </w:rPr>
        <w:t>纵深推进新型工业化建设，加快提升产业能级。</w:t>
      </w:r>
      <w:r>
        <w:rPr>
          <w:rFonts w:ascii="Times New Roman" w:hAnsi="Times New Roman" w:eastAsia="仿宋_GB2312" w:cs="Times New Roman"/>
          <w:b w:val="0"/>
          <w:bCs w:val="0"/>
          <w:color w:val="auto"/>
          <w:spacing w:val="0"/>
          <w:sz w:val="32"/>
          <w:szCs w:val="32"/>
          <w:highlight w:val="none"/>
          <w:shd w:val="clear" w:color="auto" w:fill="auto"/>
          <w:lang w:val="en-US" w:eastAsia="zh-CN"/>
        </w:rPr>
        <w:t>始终把新型工业化作为第一要务，在强产业、提质效上持续发力，</w:t>
      </w:r>
      <w:r>
        <w:rPr>
          <w:rFonts w:ascii="Times New Roman" w:hAnsi="Times New Roman" w:eastAsia="仿宋_GB2312" w:cs="Times New Roman"/>
          <w:bCs/>
          <w:sz w:val="32"/>
          <w:szCs w:val="32"/>
        </w:rPr>
        <w:t>培育壮大新质生产力，</w:t>
      </w:r>
      <w:r>
        <w:rPr>
          <w:rFonts w:ascii="Times New Roman" w:hAnsi="Times New Roman" w:eastAsia="仿宋_GB2312" w:cs="Times New Roman"/>
          <w:b w:val="0"/>
          <w:bCs w:val="0"/>
          <w:color w:val="auto"/>
          <w:spacing w:val="0"/>
          <w:sz w:val="32"/>
          <w:szCs w:val="32"/>
          <w:highlight w:val="none"/>
          <w:shd w:val="clear" w:color="auto" w:fill="auto"/>
          <w:lang w:val="en-US" w:eastAsia="zh-CN"/>
        </w:rPr>
        <w:t>加快构建肥城特色现代化产业体系，筑牢高质量发展硬支撑。</w:t>
      </w:r>
    </w:p>
    <w:p w14:paraId="63819BA4">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color w:val="auto"/>
          <w:spacing w:val="0"/>
          <w:sz w:val="32"/>
          <w:szCs w:val="32"/>
          <w:highlight w:val="none"/>
          <w:shd w:val="clear" w:color="auto" w:fill="auto"/>
          <w:lang w:eastAsia="zh-CN"/>
        </w:rPr>
        <w:t>持续壮大主导产业。</w:t>
      </w:r>
      <w:r>
        <w:rPr>
          <w:rFonts w:ascii="Times New Roman" w:hAnsi="Times New Roman" w:eastAsia="仿宋_GB2312" w:cs="Times New Roman"/>
          <w:b w:val="0"/>
          <w:bCs/>
          <w:color w:val="auto"/>
          <w:spacing w:val="0"/>
          <w:sz w:val="32"/>
          <w:szCs w:val="32"/>
          <w:highlight w:val="none"/>
          <w:shd w:val="clear" w:color="auto" w:fill="auto"/>
          <w:lang w:val="en-US" w:eastAsia="zh-CN"/>
        </w:rPr>
        <w:t>全力做优传统产业</w:t>
      </w:r>
      <w:r>
        <w:rPr>
          <w:rFonts w:hint="eastAsia" w:ascii="Times New Roman" w:hAnsi="Times New Roman" w:eastAsia="仿宋_GB2312" w:cs="Times New Roman"/>
          <w:b w:val="0"/>
          <w:bCs/>
          <w:color w:val="auto"/>
          <w:spacing w:val="0"/>
          <w:sz w:val="32"/>
          <w:szCs w:val="32"/>
          <w:highlight w:val="none"/>
          <w:shd w:val="clear" w:color="auto" w:fill="auto"/>
          <w:lang w:val="en-US" w:eastAsia="zh-CN"/>
        </w:rPr>
        <w:t>，</w:t>
      </w:r>
      <w:r>
        <w:rPr>
          <w:rFonts w:ascii="Times New Roman" w:hAnsi="Times New Roman" w:eastAsia="仿宋_GB2312" w:cs="Times New Roman"/>
          <w:b w:val="0"/>
          <w:bCs w:val="0"/>
          <w:color w:val="auto"/>
          <w:sz w:val="32"/>
          <w:szCs w:val="32"/>
          <w:highlight w:val="none"/>
          <w:shd w:val="clear" w:color="auto" w:fill="auto"/>
          <w:lang w:val="en-US" w:eastAsia="zh-CN"/>
        </w:rPr>
        <w:t>抓好石横特钢产量要素保障；鼓励支持建安、建材企业向工业化、数字化、</w:t>
      </w:r>
      <w:r>
        <w:rPr>
          <w:rFonts w:ascii="Times New Roman" w:hAnsi="Times New Roman" w:eastAsia="仿宋_GB2312" w:cs="Times New Roman"/>
          <w:b w:val="0"/>
          <w:bCs/>
          <w:color w:val="auto"/>
          <w:spacing w:val="0"/>
          <w:sz w:val="32"/>
          <w:szCs w:val="32"/>
          <w:highlight w:val="none"/>
          <w:shd w:val="clear" w:color="auto" w:fill="auto"/>
          <w:lang w:val="en-US" w:eastAsia="zh-CN"/>
        </w:rPr>
        <w:t>绿色化转型，加快进军新基建、智慧城市等施工领域，推动鲁泰建材、中科建材装配式建筑制造等</w:t>
      </w:r>
      <w:r>
        <w:rPr>
          <w:rFonts w:ascii="Times New Roman" w:hAnsi="Times New Roman" w:eastAsia="仿宋_GB2312" w:cs="Times New Roman"/>
          <w:b w:val="0"/>
          <w:bCs w:val="0"/>
          <w:color w:val="auto"/>
          <w:sz w:val="32"/>
          <w:szCs w:val="32"/>
          <w:highlight w:val="none"/>
          <w:shd w:val="clear" w:color="auto" w:fill="auto"/>
          <w:lang w:val="en-US" w:eastAsia="zh-CN"/>
        </w:rPr>
        <w:t>11</w:t>
      </w:r>
      <w:r>
        <w:rPr>
          <w:rFonts w:ascii="Times New Roman" w:hAnsi="Times New Roman" w:eastAsia="仿宋_GB2312" w:cs="Times New Roman"/>
          <w:b w:val="0"/>
          <w:bCs/>
          <w:color w:val="auto"/>
          <w:spacing w:val="0"/>
          <w:sz w:val="32"/>
          <w:szCs w:val="32"/>
          <w:highlight w:val="none"/>
          <w:shd w:val="clear" w:color="auto" w:fill="auto"/>
          <w:lang w:val="en-US" w:eastAsia="zh-CN"/>
        </w:rPr>
        <w:t>个项目开工建设，巩固千亿级产业集群优势。加快做强新兴产业</w:t>
      </w:r>
      <w:r>
        <w:rPr>
          <w:rFonts w:hint="eastAsia" w:ascii="Times New Roman" w:hAnsi="Times New Roman" w:eastAsia="仿宋_GB2312" w:cs="Times New Roman"/>
          <w:b w:val="0"/>
          <w:bCs/>
          <w:color w:val="auto"/>
          <w:spacing w:val="0"/>
          <w:sz w:val="32"/>
          <w:szCs w:val="32"/>
          <w:highlight w:val="none"/>
          <w:shd w:val="clear" w:color="auto" w:fill="auto"/>
          <w:lang w:val="en-US" w:eastAsia="zh-CN"/>
        </w:rPr>
        <w:t>，</w:t>
      </w:r>
      <w:r>
        <w:rPr>
          <w:rFonts w:ascii="Times New Roman" w:hAnsi="Times New Roman" w:eastAsia="仿宋_GB2312" w:cs="Times New Roman"/>
          <w:b w:val="0"/>
          <w:bCs/>
          <w:color w:val="auto"/>
          <w:spacing w:val="0"/>
          <w:sz w:val="32"/>
          <w:szCs w:val="32"/>
          <w:highlight w:val="none"/>
          <w:shd w:val="clear" w:color="auto" w:fill="auto"/>
          <w:lang w:val="en-US" w:eastAsia="zh-CN"/>
        </w:rPr>
        <w:t>扛牢“泰山锂谷”核心区担当，加快瑞福锂业生产线更新扩能，着力推进普鲁士蓝基钠离子电池、单壁碳纳米管导电浆料等项目释放产能，推动新型电池电极材料产业集群做大做强。</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不断</w:t>
      </w:r>
      <w:r>
        <w:rPr>
          <w:rFonts w:ascii="Times New Roman" w:hAnsi="Times New Roman" w:eastAsia="仿宋_GB2312" w:cs="Times New Roman"/>
          <w:b w:val="0"/>
          <w:bCs w:val="0"/>
          <w:color w:val="auto"/>
          <w:spacing w:val="0"/>
          <w:sz w:val="32"/>
          <w:szCs w:val="32"/>
          <w:highlight w:val="none"/>
          <w:shd w:val="clear" w:color="auto" w:fill="auto"/>
          <w:lang w:val="en-US" w:eastAsia="zh-CN"/>
        </w:rPr>
        <w:t>做大未来产业</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w:t>
      </w:r>
      <w:r>
        <w:rPr>
          <w:rFonts w:ascii="Times New Roman" w:hAnsi="Times New Roman" w:eastAsia="仿宋_GB2312" w:cs="Times New Roman"/>
          <w:b w:val="0"/>
          <w:bCs/>
          <w:color w:val="auto"/>
          <w:spacing w:val="0"/>
          <w:sz w:val="32"/>
          <w:szCs w:val="32"/>
          <w:highlight w:val="none"/>
          <w:shd w:val="clear" w:color="auto" w:fill="auto"/>
          <w:lang w:val="en-US" w:eastAsia="zh-CN"/>
        </w:rPr>
        <w:t>发挥泰安加快打造千万千瓦级“储能之都”主阵地作用，全力推动中储国能660MW、山高集团660MW、水发集团600MW项目尽快开工，中能建350MW、中电建2×300MW盐穴储能、首航高科100MW二氧化碳熔盐储能项目建成投运，中储国能、前沿动力储能装备制造项目加快建设，海晶盐化、鲁银制盐、光明岩盐</w:t>
      </w:r>
      <w:r>
        <w:rPr>
          <w:rFonts w:hint="eastAsia" w:ascii="Times New Roman" w:hAnsi="Times New Roman" w:eastAsia="仿宋_GB2312" w:cs="Times New Roman"/>
          <w:b w:val="0"/>
          <w:bCs/>
          <w:color w:val="auto"/>
          <w:spacing w:val="0"/>
          <w:sz w:val="32"/>
          <w:szCs w:val="32"/>
          <w:highlight w:val="none"/>
          <w:shd w:val="clear" w:color="auto" w:fill="auto"/>
          <w:lang w:val="en-US" w:eastAsia="zh-CN"/>
        </w:rPr>
        <w:t>3个</w:t>
      </w:r>
      <w:r>
        <w:rPr>
          <w:rFonts w:ascii="Times New Roman" w:hAnsi="Times New Roman" w:eastAsia="仿宋_GB2312" w:cs="Times New Roman"/>
          <w:b w:val="0"/>
          <w:bCs/>
          <w:color w:val="auto"/>
          <w:spacing w:val="0"/>
          <w:sz w:val="32"/>
          <w:szCs w:val="32"/>
          <w:highlight w:val="none"/>
          <w:shd w:val="clear" w:color="auto" w:fill="auto"/>
          <w:lang w:val="en-US" w:eastAsia="zh-CN"/>
        </w:rPr>
        <w:t>制盐建穴项目竣工投产，中石油鲁银26亿立方盐穴储气库项目注气运行，持续拓展新型储能产业赛道；抓好产业发展规划编制，加快仪阳通用机场建设，加大产业项目招引力度，全力抢占低空经济新赛道。</w:t>
      </w:r>
    </w:p>
    <w:p w14:paraId="23DCBBE3">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bCs w:val="0"/>
          <w:color w:val="auto"/>
          <w:spacing w:val="0"/>
          <w:sz w:val="32"/>
          <w:szCs w:val="32"/>
          <w:highlight w:val="none"/>
          <w:shd w:val="clear" w:color="auto" w:fill="auto"/>
          <w:lang w:val="en-US" w:eastAsia="zh-CN"/>
        </w:rPr>
      </w:pPr>
      <w:r>
        <w:rPr>
          <w:rFonts w:ascii="Times New Roman" w:hAnsi="Times New Roman" w:eastAsia="仿宋_GB2312" w:cs="Times New Roman"/>
          <w:b/>
          <w:bCs/>
          <w:color w:val="auto"/>
          <w:spacing w:val="0"/>
          <w:sz w:val="32"/>
          <w:szCs w:val="32"/>
          <w:highlight w:val="none"/>
          <w:shd w:val="clear" w:color="auto" w:fill="auto"/>
          <w:lang w:eastAsia="zh-CN"/>
        </w:rPr>
        <w:t>持续增强主体活力。</w:t>
      </w:r>
      <w:r>
        <w:rPr>
          <w:rFonts w:ascii="Times New Roman" w:hAnsi="Times New Roman" w:eastAsia="仿宋_GB2312" w:cs="Times New Roman"/>
          <w:b w:val="0"/>
          <w:bCs/>
          <w:color w:val="auto"/>
          <w:spacing w:val="0"/>
          <w:sz w:val="32"/>
          <w:szCs w:val="32"/>
          <w:highlight w:val="none"/>
          <w:shd w:val="clear" w:color="auto" w:fill="auto"/>
          <w:lang w:val="en-US" w:eastAsia="zh-CN"/>
        </w:rPr>
        <w:t>以推动升规纳统、壮大规模企业</w:t>
      </w:r>
      <w:r>
        <w:rPr>
          <w:rFonts w:ascii="Times New Roman" w:hAnsi="Times New Roman" w:eastAsia="仿宋_GB2312" w:cs="Times New Roman"/>
          <w:b w:val="0"/>
          <w:bCs w:val="0"/>
          <w:color w:val="auto"/>
          <w:sz w:val="32"/>
          <w:szCs w:val="32"/>
          <w:highlight w:val="none"/>
          <w:shd w:val="clear" w:color="auto" w:fill="auto"/>
          <w:lang w:val="en-US" w:eastAsia="zh-CN"/>
        </w:rPr>
        <w:t>作为经济工作的主抓手。</w:t>
      </w:r>
      <w:r>
        <w:rPr>
          <w:rFonts w:ascii="Times New Roman" w:hAnsi="Times New Roman" w:eastAsia="仿宋_GB2312" w:cs="Times New Roman"/>
          <w:b w:val="0"/>
          <w:bCs/>
          <w:color w:val="auto"/>
          <w:spacing w:val="0"/>
          <w:sz w:val="32"/>
          <w:szCs w:val="32"/>
          <w:highlight w:val="none"/>
          <w:shd w:val="clear" w:color="auto" w:fill="auto"/>
          <w:lang w:val="en-US" w:eastAsia="zh-CN"/>
        </w:rPr>
        <w:t>梯次推进“个转企”“小升规”，扶持中小微企业扩量提质，新增规上工业企业40家。支持“50强”骨干企业整合资源、兼并重组、降本增效，加快成长为产业链中高端龙头企业，力争营收过10亿元企业达到12家、过20亿元企业达到3家。培育专精特新集群，年内新增省级以上瞪羚、单项冠军、专精特新企业22家以上。加快重点企业上市步伐，力争年内新增上市企业1家，进入审核程序企业1家。</w:t>
      </w:r>
      <w:r>
        <w:rPr>
          <w:rFonts w:ascii="Times New Roman" w:hAnsi="Times New Roman" w:eastAsia="仿宋_GB2312" w:cs="Times New Roman"/>
          <w:b w:val="0"/>
          <w:bCs w:val="0"/>
          <w:color w:val="auto"/>
          <w:spacing w:val="0"/>
          <w:sz w:val="32"/>
          <w:szCs w:val="32"/>
          <w:highlight w:val="none"/>
          <w:shd w:val="clear" w:color="auto" w:fill="auto"/>
          <w:lang w:val="en-US" w:eastAsia="zh-CN"/>
        </w:rPr>
        <w:t>加大技改扩能力度，</w:t>
      </w:r>
      <w:r>
        <w:rPr>
          <w:rFonts w:ascii="Times New Roman" w:hAnsi="Times New Roman" w:eastAsia="仿宋_GB2312" w:cs="Times New Roman"/>
          <w:b w:val="0"/>
          <w:bCs w:val="0"/>
          <w:color w:val="auto"/>
          <w:sz w:val="32"/>
          <w:szCs w:val="32"/>
          <w:highlight w:val="none"/>
          <w:shd w:val="clear" w:color="auto" w:fill="auto"/>
          <w:lang w:val="en-US" w:eastAsia="zh-CN"/>
        </w:rPr>
        <w:t>实施技改项目100个以上，</w:t>
      </w:r>
      <w:r>
        <w:rPr>
          <w:rFonts w:ascii="Times New Roman" w:hAnsi="Times New Roman" w:eastAsia="仿宋_GB2312" w:cs="Times New Roman"/>
          <w:b w:val="0"/>
          <w:bCs w:val="0"/>
          <w:color w:val="auto"/>
          <w:spacing w:val="0"/>
          <w:sz w:val="32"/>
          <w:szCs w:val="32"/>
          <w:highlight w:val="none"/>
          <w:shd w:val="clear" w:color="auto" w:fill="auto"/>
          <w:lang w:val="en-US" w:eastAsia="zh-CN"/>
        </w:rPr>
        <w:t>实现资源就地转化和生产效益提升。</w:t>
      </w:r>
    </w:p>
    <w:p w14:paraId="37ECC68D">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color w:val="auto"/>
          <w:spacing w:val="0"/>
          <w:sz w:val="32"/>
          <w:szCs w:val="32"/>
          <w:highlight w:val="none"/>
          <w:shd w:val="clear" w:color="auto" w:fill="auto"/>
          <w:lang w:val="en-US" w:eastAsia="zh-CN"/>
        </w:rPr>
        <w:t>持续筑强</w:t>
      </w:r>
      <w:r>
        <w:rPr>
          <w:rFonts w:ascii="Times New Roman" w:hAnsi="Times New Roman" w:eastAsia="仿宋_GB2312" w:cs="Times New Roman"/>
          <w:b/>
          <w:bCs/>
          <w:color w:val="auto"/>
          <w:spacing w:val="0"/>
          <w:sz w:val="32"/>
          <w:szCs w:val="32"/>
          <w:highlight w:val="none"/>
          <w:shd w:val="clear" w:color="auto" w:fill="auto"/>
        </w:rPr>
        <w:t>园区</w:t>
      </w:r>
      <w:r>
        <w:rPr>
          <w:rFonts w:ascii="Times New Roman" w:hAnsi="Times New Roman" w:eastAsia="仿宋_GB2312" w:cs="Times New Roman"/>
          <w:b/>
          <w:bCs/>
          <w:color w:val="auto"/>
          <w:spacing w:val="0"/>
          <w:sz w:val="32"/>
          <w:szCs w:val="32"/>
          <w:highlight w:val="none"/>
          <w:shd w:val="clear" w:color="auto" w:fill="auto"/>
          <w:lang w:val="en-US" w:eastAsia="zh-CN"/>
        </w:rPr>
        <w:t>平台</w:t>
      </w:r>
      <w:r>
        <w:rPr>
          <w:rFonts w:ascii="Times New Roman" w:hAnsi="Times New Roman" w:eastAsia="仿宋_GB2312" w:cs="Times New Roman"/>
          <w:b/>
          <w:bCs/>
          <w:color w:val="auto"/>
          <w:spacing w:val="0"/>
          <w:sz w:val="32"/>
          <w:szCs w:val="32"/>
          <w:highlight w:val="none"/>
          <w:shd w:val="clear" w:color="auto" w:fill="auto"/>
          <w:lang w:eastAsia="zh-CN"/>
        </w:rPr>
        <w:t>。</w:t>
      </w:r>
      <w:r>
        <w:rPr>
          <w:rFonts w:ascii="Times New Roman" w:hAnsi="Times New Roman" w:eastAsia="仿宋_GB2312" w:cs="Times New Roman"/>
          <w:b w:val="0"/>
          <w:bCs/>
          <w:color w:val="auto"/>
          <w:spacing w:val="0"/>
          <w:sz w:val="32"/>
          <w:szCs w:val="32"/>
          <w:highlight w:val="none"/>
          <w:shd w:val="clear" w:color="auto" w:fill="auto"/>
          <w:lang w:val="en-US" w:eastAsia="zh-CN"/>
        </w:rPr>
        <w:t>围绕特色园区、产业集群等发展所需，加快建立“园区共用、项目共引、利益共享”机制，鼓励发展“零地增效”“腾笼换鸟”“飞地经济”，完善</w:t>
      </w:r>
      <w:r>
        <w:rPr>
          <w:rFonts w:ascii="Times New Roman" w:hAnsi="Times New Roman" w:eastAsia="仿宋_GB2312" w:cs="Times New Roman"/>
          <w:b w:val="0"/>
          <w:bCs w:val="0"/>
          <w:color w:val="auto"/>
          <w:sz w:val="32"/>
          <w:szCs w:val="32"/>
          <w:highlight w:val="none"/>
          <w:shd w:val="clear" w:color="auto" w:fill="auto"/>
          <w:lang w:val="en-US" w:eastAsia="zh-CN"/>
        </w:rPr>
        <w:t>源网荷储、</w:t>
      </w:r>
      <w:r>
        <w:rPr>
          <w:rFonts w:ascii="Times New Roman" w:hAnsi="Times New Roman" w:eastAsia="仿宋_GB2312" w:cs="Times New Roman"/>
          <w:b w:val="0"/>
          <w:bCs/>
          <w:color w:val="auto"/>
          <w:spacing w:val="0"/>
          <w:sz w:val="32"/>
          <w:szCs w:val="32"/>
          <w:highlight w:val="none"/>
          <w:shd w:val="clear" w:color="auto" w:fill="auto"/>
          <w:lang w:val="en-US" w:eastAsia="zh-CN"/>
        </w:rPr>
        <w:t>物流系统、资源协同等配套服务，加快空置标准厂房、低效闲置用地盘活利用，实施设施配套项目</w:t>
      </w:r>
      <w:r>
        <w:rPr>
          <w:rFonts w:ascii="Times New Roman" w:hAnsi="Times New Roman" w:eastAsia="仿宋_GB2312" w:cs="Times New Roman"/>
          <w:b w:val="0"/>
          <w:bCs w:val="0"/>
          <w:color w:val="auto"/>
          <w:sz w:val="32"/>
          <w:szCs w:val="32"/>
          <w:highlight w:val="none"/>
          <w:shd w:val="clear" w:color="auto" w:fill="auto"/>
          <w:lang w:val="en-US" w:eastAsia="zh-CN"/>
        </w:rPr>
        <w:t>29个，盘活利用1700亩以上</w:t>
      </w:r>
      <w:r>
        <w:rPr>
          <w:rFonts w:ascii="Times New Roman" w:hAnsi="Times New Roman" w:eastAsia="仿宋_GB2312" w:cs="Times New Roman"/>
          <w:b w:val="0"/>
          <w:bCs/>
          <w:color w:val="auto"/>
          <w:spacing w:val="0"/>
          <w:sz w:val="32"/>
          <w:szCs w:val="32"/>
          <w:highlight w:val="none"/>
          <w:shd w:val="clear" w:color="auto" w:fill="auto"/>
          <w:lang w:val="en-US" w:eastAsia="zh-CN"/>
        </w:rPr>
        <w:t>。支持高新区厚植科创沃土，加快培育钠电材料、数字算力、智能制造等新质生产力，实施总投资312亿元的25个项目。支持经开区发挥招商优势，持续壮大盐穴储能、汽车配件、装备制造优势产业，抓好总投资</w:t>
      </w:r>
      <w:r>
        <w:rPr>
          <w:rFonts w:ascii="Times New Roman" w:hAnsi="Times New Roman" w:eastAsia="仿宋_GB2312" w:cs="Times New Roman"/>
          <w:b w:val="0"/>
          <w:bCs w:val="0"/>
          <w:color w:val="auto"/>
          <w:sz w:val="32"/>
          <w:szCs w:val="32"/>
          <w:highlight w:val="none"/>
          <w:shd w:val="clear" w:color="auto" w:fill="auto"/>
          <w:lang w:val="en-US" w:eastAsia="zh-CN"/>
        </w:rPr>
        <w:t>340</w:t>
      </w:r>
      <w:r>
        <w:rPr>
          <w:rFonts w:ascii="Times New Roman" w:hAnsi="Times New Roman" w:eastAsia="仿宋_GB2312" w:cs="Times New Roman"/>
          <w:b w:val="0"/>
          <w:bCs/>
          <w:color w:val="auto"/>
          <w:spacing w:val="0"/>
          <w:sz w:val="32"/>
          <w:szCs w:val="32"/>
          <w:highlight w:val="none"/>
          <w:shd w:val="clear" w:color="auto" w:fill="auto"/>
          <w:lang w:val="en-US" w:eastAsia="zh-CN"/>
        </w:rPr>
        <w:t>亿元的22个项目。支持农高区打造全省农业高新技术产业示范基地，推动泰山番茄示范种植园、</w:t>
      </w:r>
      <w:r>
        <w:rPr>
          <w:rFonts w:ascii="Times New Roman" w:hAnsi="Times New Roman" w:eastAsia="仿宋_GB2312" w:cs="Times New Roman"/>
          <w:b w:val="0"/>
          <w:bCs w:val="0"/>
          <w:color w:val="auto"/>
          <w:sz w:val="32"/>
          <w:szCs w:val="32"/>
          <w:highlight w:val="none"/>
          <w:shd w:val="clear" w:color="auto" w:fill="auto"/>
          <w:lang w:val="en-US" w:eastAsia="zh-CN"/>
        </w:rPr>
        <w:t>肥城桃优质种苗培育基地</w:t>
      </w:r>
      <w:r>
        <w:rPr>
          <w:rFonts w:ascii="Times New Roman" w:hAnsi="Times New Roman" w:eastAsia="仿宋_GB2312" w:cs="Times New Roman"/>
          <w:b w:val="0"/>
          <w:bCs/>
          <w:color w:val="auto"/>
          <w:spacing w:val="0"/>
          <w:sz w:val="32"/>
          <w:szCs w:val="32"/>
          <w:highlight w:val="none"/>
          <w:shd w:val="clear" w:color="auto" w:fill="auto"/>
          <w:lang w:val="en-US" w:eastAsia="zh-CN"/>
        </w:rPr>
        <w:t>项目落地开工。支持化工园区基础设施提升，建设方舟创园新型化工产业园，打造园区智慧管理控制中心，推动</w:t>
      </w:r>
      <w:r>
        <w:rPr>
          <w:rFonts w:ascii="Times New Roman" w:hAnsi="Times New Roman" w:eastAsia="仿宋_GB2312" w:cs="Times New Roman"/>
          <w:b w:val="0"/>
          <w:bCs w:val="0"/>
          <w:color w:val="auto"/>
          <w:sz w:val="32"/>
          <w:szCs w:val="32"/>
          <w:highlight w:val="none"/>
          <w:shd w:val="clear" w:color="auto" w:fill="auto"/>
          <w:lang w:val="en-US" w:eastAsia="zh-CN"/>
        </w:rPr>
        <w:t>绿色“空气岛”、新能源电池回收利用</w:t>
      </w:r>
      <w:r>
        <w:rPr>
          <w:rFonts w:ascii="Times New Roman" w:hAnsi="Times New Roman" w:eastAsia="仿宋_GB2312" w:cs="Times New Roman"/>
          <w:b w:val="0"/>
          <w:bCs/>
          <w:color w:val="auto"/>
          <w:spacing w:val="0"/>
          <w:sz w:val="32"/>
          <w:szCs w:val="32"/>
          <w:highlight w:val="none"/>
          <w:shd w:val="clear" w:color="auto" w:fill="auto"/>
          <w:lang w:val="en-US" w:eastAsia="zh-CN"/>
        </w:rPr>
        <w:t>项目快速落地。</w:t>
      </w:r>
    </w:p>
    <w:p w14:paraId="46EC8F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楷体_GB2312" w:cs="Times New Roman"/>
          <w:b/>
          <w:bCs w:val="0"/>
          <w:color w:val="auto"/>
          <w:spacing w:val="0"/>
          <w:sz w:val="32"/>
          <w:szCs w:val="32"/>
          <w:highlight w:val="none"/>
          <w:shd w:val="clear" w:color="auto" w:fill="auto"/>
          <w:lang w:val="en-US" w:eastAsia="zh-CN"/>
        </w:rPr>
        <w:t>（二）凝心聚力抓好项目建设，加快积蓄发展动能。</w:t>
      </w:r>
      <w:r>
        <w:rPr>
          <w:rFonts w:ascii="Times New Roman" w:hAnsi="Times New Roman" w:eastAsia="仿宋_GB2312" w:cs="Times New Roman"/>
          <w:b w:val="0"/>
          <w:bCs w:val="0"/>
          <w:color w:val="auto"/>
          <w:sz w:val="32"/>
          <w:szCs w:val="32"/>
          <w:highlight w:val="none"/>
          <w:shd w:val="clear" w:color="auto" w:fill="auto"/>
          <w:lang w:val="zh-CN" w:eastAsia="zh-CN"/>
        </w:rPr>
        <w:t>项目建设既是稳定经济增长的当务之急，也是增强发展后劲的长远之策。树牢“抓项目就是抓发展，谋项目就是谋未来”的理念，将项目建设作为推动高质量发展“首位工程”，</w:t>
      </w:r>
      <w:r>
        <w:rPr>
          <w:rFonts w:ascii="Times New Roman" w:hAnsi="Times New Roman" w:eastAsia="仿宋_GB2312" w:cs="Times New Roman"/>
          <w:b w:val="0"/>
          <w:bCs w:val="0"/>
          <w:color w:val="auto"/>
          <w:sz w:val="32"/>
          <w:szCs w:val="32"/>
          <w:highlight w:val="none"/>
          <w:shd w:val="clear" w:color="auto" w:fill="auto"/>
          <w:lang w:val="en-US" w:eastAsia="zh-CN"/>
        </w:rPr>
        <w:t>坚定不移大抓项目、抓大项目、抓好项目。</w:t>
      </w:r>
    </w:p>
    <w:p w14:paraId="1EF09563">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val="0"/>
          <w:bCs w:val="0"/>
          <w:color w:val="auto"/>
          <w:spacing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坚持把项目策划争取作为头等大事。</w:t>
      </w:r>
      <w:r>
        <w:rPr>
          <w:rFonts w:ascii="Times New Roman" w:hAnsi="Times New Roman" w:eastAsia="仿宋_GB2312" w:cs="Times New Roman"/>
          <w:b w:val="0"/>
          <w:bCs/>
          <w:color w:val="auto"/>
          <w:spacing w:val="0"/>
          <w:sz w:val="32"/>
          <w:szCs w:val="32"/>
          <w:highlight w:val="none"/>
          <w:shd w:val="clear" w:color="auto" w:fill="auto"/>
          <w:lang w:val="en-US" w:eastAsia="zh-CN"/>
        </w:rPr>
        <w:t>抢抓“一揽子”增量政策机遇，重点聚焦中央预算内、超长期特别国债及专项债支持投向领域，积极谋划有利于壮大县域经济总量、促进产业升级、改善民生福祉的项目，千方百计争政策、争项目、争资金、争平台，力争更多纳入国家和省级支持“盘子”。</w:t>
      </w:r>
      <w:r>
        <w:rPr>
          <w:rFonts w:ascii="Times New Roman" w:hAnsi="Times New Roman" w:eastAsia="仿宋_GB2312" w:cs="Times New Roman"/>
          <w:b w:val="0"/>
          <w:bCs w:val="0"/>
          <w:color w:val="auto"/>
          <w:spacing w:val="0"/>
          <w:sz w:val="32"/>
          <w:szCs w:val="32"/>
          <w:highlight w:val="none"/>
          <w:shd w:val="clear" w:color="auto" w:fill="auto"/>
          <w:lang w:val="en-US" w:eastAsia="zh-CN"/>
        </w:rPr>
        <w:t>全年力争列入上级扶持计划项目500个以上，到位资金增长10%以上、政府专项债券20亿元以上。</w:t>
      </w:r>
    </w:p>
    <w:p w14:paraId="7F8FC28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坚持把重点项目作为重要抓手。</w:t>
      </w:r>
      <w:r>
        <w:rPr>
          <w:rFonts w:ascii="Times New Roman" w:hAnsi="Times New Roman" w:eastAsia="仿宋_GB2312" w:cs="Times New Roman"/>
          <w:b w:val="0"/>
          <w:bCs/>
          <w:color w:val="auto"/>
          <w:spacing w:val="0"/>
          <w:sz w:val="32"/>
          <w:szCs w:val="32"/>
          <w:highlight w:val="none"/>
          <w:shd w:val="clear" w:color="auto" w:fill="auto"/>
          <w:lang w:val="en-US" w:eastAsia="zh-CN"/>
        </w:rPr>
        <w:t>全力实施好总投资544.2亿元的160个省市县重点项目，全年完成投资317亿元以上。动态调整“ABCD”重点项目清单，落实“全周期”“一对一”“面对面”服务，统筹资金、土地、能源、环境等要素资源，确保重大项目建设所需，提高项目开工纳统率、资金到位率，加快拉动起有效投资。</w:t>
      </w:r>
    </w:p>
    <w:p w14:paraId="43ABBD0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楷体_GB2312" w:cs="Times New Roman"/>
          <w:b/>
          <w:bCs w:val="0"/>
          <w:color w:val="auto"/>
          <w:spacing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坚持把招商引资作为有力支撑。</w:t>
      </w:r>
      <w:r>
        <w:rPr>
          <w:rFonts w:ascii="Times New Roman" w:hAnsi="Times New Roman" w:eastAsia="仿宋_GB2312" w:cs="Times New Roman"/>
          <w:b w:val="0"/>
          <w:bCs/>
          <w:color w:val="auto"/>
          <w:spacing w:val="0"/>
          <w:sz w:val="32"/>
          <w:szCs w:val="32"/>
          <w:highlight w:val="none"/>
          <w:shd w:val="clear" w:color="auto" w:fill="auto"/>
          <w:lang w:val="en-US" w:eastAsia="zh-CN"/>
        </w:rPr>
        <w:t>发挥好市属国企和产业基金的作用，通过以投带引、招投联动，吸引更多优质项目落户肥城。面向长三角、珠三角、京津冀等重点区域开展蹲点招商，不断提高项目招引质效。坚持“服务好现有企业就是最好的招商”，推动“链主”“链属”协同发力，提升产业链黏性，吸引更多龙头型、基地型项目落地，</w:t>
      </w:r>
      <w:r>
        <w:rPr>
          <w:rFonts w:ascii="Times New Roman" w:hAnsi="Times New Roman" w:eastAsia="仿宋_GB2312" w:cs="Times New Roman"/>
          <w:b w:val="0"/>
          <w:bCs w:val="0"/>
          <w:color w:val="auto"/>
          <w:spacing w:val="0"/>
          <w:sz w:val="32"/>
          <w:szCs w:val="32"/>
          <w:highlight w:val="none"/>
          <w:shd w:val="clear" w:color="auto" w:fill="auto"/>
          <w:lang w:val="en-US" w:eastAsia="zh-CN"/>
        </w:rPr>
        <w:t>引进过亿元项目</w:t>
      </w:r>
      <w:r>
        <w:rPr>
          <w:rFonts w:ascii="Times New Roman" w:hAnsi="Times New Roman" w:eastAsia="仿宋_GB2312" w:cs="Times New Roman"/>
          <w:b w:val="0"/>
          <w:bCs w:val="0"/>
          <w:color w:val="auto"/>
          <w:sz w:val="32"/>
          <w:szCs w:val="32"/>
          <w:highlight w:val="none"/>
          <w:shd w:val="clear" w:color="auto" w:fill="auto"/>
          <w:lang w:val="en-US" w:eastAsia="zh-CN"/>
        </w:rPr>
        <w:t>90个左右</w:t>
      </w:r>
      <w:r>
        <w:rPr>
          <w:rFonts w:ascii="Times New Roman" w:hAnsi="Times New Roman" w:eastAsia="仿宋_GB2312" w:cs="Times New Roman"/>
          <w:b w:val="0"/>
          <w:bCs w:val="0"/>
          <w:color w:val="auto"/>
          <w:spacing w:val="0"/>
          <w:sz w:val="32"/>
          <w:szCs w:val="32"/>
          <w:highlight w:val="none"/>
          <w:shd w:val="clear" w:color="auto" w:fill="auto"/>
          <w:lang w:val="en-US" w:eastAsia="zh-CN"/>
        </w:rPr>
        <w:t>，到位资金增长10%以上。</w:t>
      </w:r>
    </w:p>
    <w:p w14:paraId="10924DFE">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val="0"/>
          <w:color w:val="auto"/>
          <w:spacing w:val="0"/>
          <w:sz w:val="32"/>
          <w:szCs w:val="32"/>
          <w:highlight w:val="none"/>
          <w:shd w:val="clear" w:color="auto" w:fill="auto"/>
          <w:lang w:val="en-US" w:eastAsia="zh-CN"/>
        </w:rPr>
      </w:pPr>
      <w:r>
        <w:rPr>
          <w:rFonts w:ascii="Times New Roman" w:hAnsi="Times New Roman" w:eastAsia="楷体_GB2312" w:cs="Times New Roman"/>
          <w:b/>
          <w:bCs w:val="0"/>
          <w:color w:val="auto"/>
          <w:spacing w:val="0"/>
          <w:sz w:val="32"/>
          <w:szCs w:val="32"/>
          <w:highlight w:val="none"/>
          <w:shd w:val="clear" w:color="auto" w:fill="auto"/>
          <w:lang w:val="en-US" w:eastAsia="zh-CN"/>
        </w:rPr>
        <w:t>（三）持续深化改革创新赋能，加快激发动能活力。</w:t>
      </w:r>
      <w:r>
        <w:rPr>
          <w:rFonts w:ascii="Times New Roman" w:hAnsi="Times New Roman" w:eastAsia="仿宋_GB2312" w:cs="Times New Roman"/>
          <w:b w:val="0"/>
          <w:bCs w:val="0"/>
          <w:color w:val="auto"/>
          <w:spacing w:val="0"/>
          <w:sz w:val="32"/>
          <w:szCs w:val="32"/>
          <w:highlight w:val="none"/>
          <w:shd w:val="clear" w:color="auto" w:fill="auto"/>
          <w:lang w:val="en-US" w:eastAsia="zh-CN"/>
        </w:rPr>
        <w:t>加快改革步伐，夯实创新举措，充分激发和释放有利于高质量发展的力量源泉。</w:t>
      </w:r>
    </w:p>
    <w:p w14:paraId="3389D90B">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充分激发创新活力。</w:t>
      </w:r>
      <w:r>
        <w:rPr>
          <w:rFonts w:ascii="Times New Roman" w:hAnsi="Times New Roman" w:eastAsia="仿宋_GB2312" w:cs="Times New Roman"/>
          <w:b w:val="0"/>
          <w:bCs/>
          <w:color w:val="auto"/>
          <w:spacing w:val="0"/>
          <w:sz w:val="32"/>
          <w:szCs w:val="32"/>
          <w:highlight w:val="none"/>
          <w:shd w:val="clear" w:color="auto" w:fill="auto"/>
          <w:lang w:val="en-US" w:eastAsia="zh-CN"/>
        </w:rPr>
        <w:t>突出企业科技创新主体地位，力争高新技术产业产值占比稳定在69%以上</w:t>
      </w:r>
      <w:r>
        <w:rPr>
          <w:rFonts w:ascii="Times New Roman" w:hAnsi="Times New Roman" w:eastAsia="仿宋_GB2312" w:cs="Times New Roman"/>
          <w:b w:val="0"/>
          <w:bCs/>
          <w:strike w:val="0"/>
          <w:dstrike w:val="0"/>
          <w:color w:val="auto"/>
          <w:spacing w:val="0"/>
          <w:sz w:val="32"/>
          <w:szCs w:val="32"/>
          <w:highlight w:val="none"/>
          <w:shd w:val="clear" w:color="auto" w:fill="auto"/>
          <w:lang w:val="en-US" w:eastAsia="zh-CN"/>
        </w:rPr>
        <w:t>，</w:t>
      </w:r>
      <w:r>
        <w:rPr>
          <w:rFonts w:ascii="Times New Roman" w:hAnsi="Times New Roman" w:eastAsia="仿宋_GB2312" w:cs="Times New Roman"/>
          <w:b w:val="0"/>
          <w:bCs w:val="0"/>
          <w:color w:val="auto"/>
          <w:sz w:val="32"/>
          <w:szCs w:val="32"/>
          <w:highlight w:val="none"/>
          <w:shd w:val="clear" w:color="auto" w:fill="auto"/>
          <w:lang w:val="en-US" w:eastAsia="zh-CN"/>
        </w:rPr>
        <w:t>新增省级以上创新平台2家以上。</w:t>
      </w:r>
      <w:r>
        <w:rPr>
          <w:rFonts w:ascii="Times New Roman" w:hAnsi="Times New Roman" w:eastAsia="仿宋_GB2312" w:cs="Times New Roman"/>
          <w:b w:val="0"/>
          <w:bCs/>
          <w:color w:val="auto"/>
          <w:spacing w:val="0"/>
          <w:sz w:val="32"/>
          <w:szCs w:val="32"/>
          <w:highlight w:val="none"/>
          <w:shd w:val="clear" w:color="auto" w:fill="auto"/>
          <w:lang w:val="en-US" w:eastAsia="zh-CN"/>
        </w:rPr>
        <w:t>深化产学研合作，实施成果转化、平台建设、技术攻关等校企合作20项以上。探索校地人才双聘、青年科技人才联培共育机制，强化人才政策支持，全年引进“高精尖缺”人才130人以上。实施质量强市和品牌战略，新授发明专利100件以上，新增商标800件以上，参与制定各类标准20项以上。</w:t>
      </w:r>
    </w:p>
    <w:p w14:paraId="6405F34B">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充分激发国企活力。</w:t>
      </w:r>
      <w:r>
        <w:rPr>
          <w:rFonts w:ascii="Times New Roman" w:hAnsi="Times New Roman" w:eastAsia="仿宋_GB2312" w:cs="Times New Roman"/>
          <w:b w:val="0"/>
          <w:bCs/>
          <w:color w:val="auto"/>
          <w:spacing w:val="0"/>
          <w:sz w:val="32"/>
          <w:szCs w:val="32"/>
          <w:highlight w:val="none"/>
          <w:shd w:val="clear" w:color="auto" w:fill="auto"/>
          <w:lang w:val="en-US" w:eastAsia="zh-CN"/>
        </w:rPr>
        <w:t>支持国有企业深度参与产业招引、文旅融合、乡村振兴、低空经济、数字经济等领域，在延链条、补短板、促增收上扛牢国企担当。创新投融资运营模式，积极引入社会资本，用好用活“国资领投”，盘活闲置国有资产，通过债券争取、特许经营、产权交易、股权投资等方式，推动国有资本高效运营、循环增值。打好国企改革深化提升行动收官战，持续完善投资决策、内控管理和绩效评价机制，不断做强主责主业、做大资产效益、做优经营运行。</w:t>
      </w:r>
    </w:p>
    <w:p w14:paraId="4C53533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充分激发数字活力。</w:t>
      </w:r>
      <w:r>
        <w:rPr>
          <w:rFonts w:ascii="Times New Roman" w:hAnsi="Times New Roman" w:eastAsia="仿宋_GB2312" w:cs="Times New Roman"/>
          <w:b w:val="0"/>
          <w:bCs/>
          <w:color w:val="auto"/>
          <w:spacing w:val="0"/>
          <w:sz w:val="32"/>
          <w:szCs w:val="32"/>
          <w:highlight w:val="none"/>
          <w:shd w:val="clear" w:color="auto" w:fill="auto"/>
          <w:lang w:val="en-US" w:eastAsia="zh-CN"/>
        </w:rPr>
        <w:t>运用数字底座，推广“产业大脑+智能工厂”模式，加快企业“上云、用数、赋智”步伐，年内实施100个数字化转型项目，争创省级数字化转型标杆、数字经济“晨星工厂”30个以上，规上工业企业数字化转型覆盖率达到90%以上。加快打造泰山智谷，抓好科大讯飞智算中心、四川华鲲振宇、深圳进化动力、深圳棋睿德显示模组等项目建设，数字经济核心产业增加值增长40%以上。推动5G、千兆光网、移动物联网深度覆盖，培育典型应用场景5个以上。</w:t>
      </w:r>
    </w:p>
    <w:p w14:paraId="339C470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充分激发消费活力。</w:t>
      </w:r>
      <w:r>
        <w:rPr>
          <w:rFonts w:ascii="Times New Roman" w:hAnsi="Times New Roman" w:eastAsia="仿宋_GB2312" w:cs="Times New Roman"/>
          <w:b w:val="0"/>
          <w:bCs w:val="0"/>
          <w:color w:val="auto"/>
          <w:spacing w:val="0"/>
          <w:sz w:val="32"/>
          <w:szCs w:val="32"/>
          <w:highlight w:val="none"/>
          <w:shd w:val="clear" w:color="auto" w:fill="auto"/>
          <w:lang w:val="en-US" w:eastAsia="zh-CN"/>
        </w:rPr>
        <w:t>深入实施提振消费行动，大力培育假日经济、夜间经济、银发经济，</w:t>
      </w:r>
      <w:r>
        <w:rPr>
          <w:rFonts w:ascii="Times New Roman" w:hAnsi="Times New Roman" w:eastAsia="仿宋_GB2312" w:cs="Times New Roman"/>
          <w:b w:val="0"/>
          <w:bCs w:val="0"/>
          <w:color w:val="auto"/>
          <w:sz w:val="32"/>
          <w:szCs w:val="32"/>
          <w:highlight w:val="none"/>
          <w:shd w:val="clear" w:color="auto" w:fill="auto"/>
          <w:lang w:val="en-US" w:eastAsia="zh-CN"/>
        </w:rPr>
        <w:t>策划组织消费品“以旧换新”活动20期以上，</w:t>
      </w:r>
      <w:r>
        <w:rPr>
          <w:rFonts w:ascii="Times New Roman" w:hAnsi="Times New Roman" w:eastAsia="仿宋_GB2312" w:cs="Times New Roman"/>
          <w:b w:val="0"/>
          <w:bCs w:val="0"/>
          <w:color w:val="auto"/>
          <w:spacing w:val="0"/>
          <w:sz w:val="32"/>
          <w:szCs w:val="32"/>
          <w:highlight w:val="none"/>
          <w:shd w:val="clear" w:color="auto" w:fill="auto"/>
          <w:lang w:val="en-US" w:eastAsia="zh-CN"/>
        </w:rPr>
        <w:t>加快吾悦广场商业综合体建成运营，促进文旅、餐饮、零售等生活性服务业提质增效。推动现代服务业和新型工业化“双向赋能”，聚焦现代物流、商贸流通、工程设计等重点领域，引导生产性服务业向高价值、专业化延伸，新增规上</w:t>
      </w:r>
      <w:r>
        <w:rPr>
          <w:rFonts w:ascii="Times New Roman" w:hAnsi="Times New Roman" w:eastAsia="仿宋_GB2312" w:cs="Times New Roman"/>
          <w:b w:val="0"/>
          <w:bCs w:val="0"/>
          <w:color w:val="auto"/>
          <w:sz w:val="32"/>
          <w:szCs w:val="32"/>
          <w:highlight w:val="none"/>
          <w:shd w:val="clear" w:color="auto" w:fill="auto"/>
          <w:lang w:val="en-US" w:eastAsia="zh-CN"/>
        </w:rPr>
        <w:t>服务业</w:t>
      </w:r>
      <w:r>
        <w:rPr>
          <w:rFonts w:ascii="Times New Roman" w:hAnsi="Times New Roman" w:eastAsia="仿宋_GB2312" w:cs="Times New Roman"/>
          <w:b w:val="0"/>
          <w:bCs w:val="0"/>
          <w:color w:val="auto"/>
          <w:spacing w:val="0"/>
          <w:sz w:val="32"/>
          <w:szCs w:val="32"/>
          <w:highlight w:val="none"/>
          <w:shd w:val="clear" w:color="auto" w:fill="auto"/>
          <w:lang w:val="en-US" w:eastAsia="zh-CN"/>
        </w:rPr>
        <w:t>企业20家以上。发挥鲁西内陆港站、城资物流“泰畅通”平台优势，新增规上物流企业3家</w:t>
      </w:r>
      <w:r>
        <w:rPr>
          <w:rFonts w:hint="eastAsia" w:ascii="Times New Roman" w:hAnsi="Times New Roman" w:eastAsia="仿宋_GB2312" w:cs="Times New Roman"/>
          <w:b w:val="0"/>
          <w:bCs w:val="0"/>
          <w:color w:val="auto"/>
          <w:spacing w:val="0"/>
          <w:sz w:val="32"/>
          <w:szCs w:val="32"/>
          <w:highlight w:val="none"/>
          <w:shd w:val="clear" w:color="auto" w:fill="auto"/>
          <w:lang w:val="en-US" w:eastAsia="zh-CN"/>
        </w:rPr>
        <w:t>，</w:t>
      </w:r>
      <w:r>
        <w:rPr>
          <w:rFonts w:ascii="Times New Roman" w:hAnsi="Times New Roman" w:eastAsia="仿宋_GB2312" w:cs="Times New Roman"/>
          <w:b w:val="0"/>
          <w:bCs w:val="0"/>
          <w:color w:val="auto"/>
          <w:sz w:val="32"/>
          <w:szCs w:val="32"/>
          <w:highlight w:val="none"/>
          <w:shd w:val="clear" w:color="auto" w:fill="auto"/>
          <w:lang w:val="en-US" w:eastAsia="zh-CN"/>
        </w:rPr>
        <w:t>新入驻</w:t>
      </w:r>
      <w:r>
        <w:rPr>
          <w:rFonts w:ascii="Times New Roman" w:hAnsi="Times New Roman" w:eastAsia="仿宋_GB2312" w:cs="Times New Roman"/>
          <w:b w:val="0"/>
          <w:bCs w:val="0"/>
          <w:color w:val="auto"/>
          <w:spacing w:val="0"/>
          <w:sz w:val="32"/>
          <w:szCs w:val="32"/>
          <w:highlight w:val="none"/>
          <w:shd w:val="clear" w:color="auto" w:fill="auto"/>
          <w:lang w:val="en-US" w:eastAsia="zh-CN"/>
        </w:rPr>
        <w:t>平台企业20家以上。全力稳住楼市，</w:t>
      </w:r>
      <w:r>
        <w:rPr>
          <w:rFonts w:ascii="Times New Roman" w:hAnsi="Times New Roman" w:eastAsia="仿宋_GB2312" w:cs="Times New Roman"/>
          <w:b w:val="0"/>
          <w:bCs w:val="0"/>
          <w:color w:val="auto"/>
          <w:sz w:val="32"/>
          <w:szCs w:val="32"/>
          <w:highlight w:val="none"/>
          <w:shd w:val="clear" w:color="auto" w:fill="auto"/>
          <w:lang w:val="en-US" w:eastAsia="zh-CN"/>
        </w:rPr>
        <w:t>推动商品房去库存，谋划一批高品质住宅，促进房地产市场止跌回稳、回升向好。</w:t>
      </w:r>
    </w:p>
    <w:p w14:paraId="2BC1B62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充分激发开放活力。</w:t>
      </w:r>
      <w:r>
        <w:rPr>
          <w:rFonts w:ascii="Times New Roman" w:hAnsi="Times New Roman" w:eastAsia="仿宋_GB2312" w:cs="Times New Roman"/>
          <w:b w:val="0"/>
          <w:bCs/>
          <w:color w:val="auto"/>
          <w:spacing w:val="0"/>
          <w:sz w:val="32"/>
          <w:szCs w:val="32"/>
          <w:highlight w:val="none"/>
          <w:shd w:val="clear" w:color="auto" w:fill="auto"/>
          <w:lang w:val="en-US" w:eastAsia="zh-CN"/>
        </w:rPr>
        <w:t>积极参与“好品山东 鲁贸全球”市场开拓行动，加大精细化工、五金机械、纺织服装出口力度，发展服务贸易、数字贸易、绿色贸易等外贸新业态，鼓励企业出海发展、参展拓市、跨境拓销。积极对接泰安海关与山东港口集团，鼓励企业代理转自营、外贸业绩回流，扩大铁矿石、锂辉石等大宗商品进口规模，</w:t>
      </w:r>
      <w:r>
        <w:rPr>
          <w:rFonts w:ascii="Times New Roman" w:hAnsi="Times New Roman" w:eastAsia="仿宋_GB2312" w:cs="Times New Roman"/>
          <w:b w:val="0"/>
          <w:bCs w:val="0"/>
          <w:color w:val="auto"/>
          <w:sz w:val="32"/>
          <w:szCs w:val="32"/>
          <w:highlight w:val="none"/>
          <w:shd w:val="clear" w:color="auto" w:fill="auto"/>
          <w:lang w:val="en-US" w:eastAsia="zh-CN"/>
        </w:rPr>
        <w:t>年内外贸业绩回流4亿元以上。拓宽外资利用渠道，围绕企业利润再投资、资源能源类项目吸引外资和上市返程投资，重点推进隆泰金属、盐穴储能、国能40MW光伏发电等项目，确保年内实际使用外资1亿美元以上。</w:t>
      </w:r>
    </w:p>
    <w:p w14:paraId="699A9498">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楷体_GB2312" w:cs="Times New Roman"/>
          <w:b/>
          <w:bCs w:val="0"/>
          <w:color w:val="auto"/>
          <w:spacing w:val="0"/>
          <w:sz w:val="32"/>
          <w:szCs w:val="32"/>
          <w:highlight w:val="none"/>
          <w:shd w:val="clear" w:color="auto" w:fill="auto"/>
          <w:lang w:val="en-US" w:eastAsia="zh-CN"/>
        </w:rPr>
        <w:t>（四）加快农业农村现代化步伐，加快乡村全面振兴。</w:t>
      </w:r>
      <w:r>
        <w:rPr>
          <w:rFonts w:ascii="Times New Roman" w:hAnsi="Times New Roman" w:eastAsia="仿宋_GB2312" w:cs="Times New Roman"/>
          <w:b w:val="0"/>
          <w:bCs/>
          <w:color w:val="auto"/>
          <w:spacing w:val="0"/>
          <w:sz w:val="32"/>
          <w:szCs w:val="32"/>
          <w:highlight w:val="none"/>
          <w:shd w:val="clear" w:color="auto" w:fill="auto"/>
          <w:lang w:val="en-US" w:eastAsia="zh-CN"/>
        </w:rPr>
        <w:t>始终把乡村振兴作为新时代“三农”工作总抓手，推动兴业、强村、富民一体发展，聚力打造乡村振兴齐鲁样板县域示范区。</w:t>
      </w:r>
    </w:p>
    <w:p w14:paraId="5FED760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扛牢粮食安全责任。</w:t>
      </w:r>
      <w:r>
        <w:rPr>
          <w:rFonts w:ascii="Times New Roman" w:hAnsi="Times New Roman" w:eastAsia="仿宋_GB2312" w:cs="Times New Roman"/>
          <w:snapToGrid w:val="0"/>
          <w:color w:val="auto"/>
          <w:spacing w:val="0"/>
          <w:kern w:val="0"/>
          <w:sz w:val="32"/>
          <w:szCs w:val="32"/>
          <w:highlight w:val="none"/>
          <w:shd w:val="clear" w:color="auto" w:fill="auto"/>
          <w:lang w:val="en-US" w:eastAsia="zh-CN"/>
        </w:rPr>
        <w:t>扛牢耕地保护和粮食安全政治责任，巩固提升“一块田改革”“减垄增地”创新成果，推动万亩示范片和千亩样板田扩容提质，确保粮食种植面积和产量稳步增长。持续做优社会化服务，建设高标准农田6万亩以上，</w:t>
      </w:r>
      <w:r>
        <w:rPr>
          <w:rFonts w:ascii="Times New Roman" w:hAnsi="Times New Roman" w:eastAsia="仿宋_GB2312" w:cs="Times New Roman"/>
          <w:b w:val="0"/>
          <w:bCs w:val="0"/>
          <w:color w:val="auto"/>
          <w:sz w:val="32"/>
          <w:szCs w:val="32"/>
          <w:highlight w:val="none"/>
          <w:shd w:val="clear" w:color="auto" w:fill="auto"/>
          <w:lang w:val="en-US" w:eastAsia="zh-CN"/>
        </w:rPr>
        <w:t>粮食播种面积、产量分别稳定在110万亩、10亿斤以上。</w:t>
      </w:r>
    </w:p>
    <w:p w14:paraId="352A14D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snapToGrid w:val="0"/>
          <w:color w:val="auto"/>
          <w:spacing w:val="0"/>
          <w:kern w:val="0"/>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做强现代食品产业。</w:t>
      </w:r>
      <w:r>
        <w:rPr>
          <w:rFonts w:ascii="Times New Roman" w:hAnsi="Times New Roman" w:eastAsia="仿宋_GB2312" w:cs="Times New Roman"/>
          <w:b w:val="0"/>
          <w:bCs w:val="0"/>
          <w:color w:val="auto"/>
          <w:sz w:val="32"/>
          <w:szCs w:val="32"/>
          <w:highlight w:val="none"/>
          <w:shd w:val="clear" w:color="auto" w:fill="auto"/>
          <w:lang w:val="en-US" w:eastAsia="zh-CN"/>
        </w:rPr>
        <w:t>抓好预制菜试点推进，发挥现代食品预制产业园、食品精深加工产业园“两园”平台作用，加快首农45万吨</w:t>
      </w:r>
      <w:r>
        <w:rPr>
          <w:rFonts w:ascii="Times New Roman" w:hAnsi="Times New Roman" w:eastAsia="仿宋_GB2312" w:cs="Times New Roman"/>
          <w:snapToGrid w:val="0"/>
          <w:color w:val="auto"/>
          <w:spacing w:val="0"/>
          <w:kern w:val="0"/>
          <w:sz w:val="32"/>
          <w:szCs w:val="32"/>
          <w:highlight w:val="none"/>
          <w:shd w:val="clear" w:color="auto" w:fill="auto"/>
          <w:lang w:val="en-US" w:eastAsia="zh-CN"/>
        </w:rPr>
        <w:t>功能糖、泰山九丰智慧农业科技产业园等27个项目进度。促进肥城桃、有机菜、高产粮等特色产业规模化发展，</w:t>
      </w:r>
      <w:r>
        <w:rPr>
          <w:rFonts w:ascii="Times New Roman" w:hAnsi="Times New Roman" w:eastAsia="仿宋_GB2312" w:cs="Times New Roman"/>
          <w:b w:val="0"/>
          <w:bCs w:val="0"/>
          <w:color w:val="auto"/>
          <w:sz w:val="32"/>
          <w:szCs w:val="32"/>
          <w:highlight w:val="none"/>
          <w:shd w:val="clear" w:color="auto" w:fill="auto"/>
          <w:lang w:val="en-US" w:eastAsia="zh-CN"/>
        </w:rPr>
        <w:t>加快推进泰山番茄创新研究院“一院四中心”提档升级，着力构建集番茄种植、精深加工、仓储物流、文旅研学于一体的全产业链条。</w:t>
      </w:r>
      <w:r>
        <w:rPr>
          <w:rFonts w:hint="default" w:ascii="Times New Roman" w:hAnsi="Times New Roman" w:eastAsia="仿宋_GB2312" w:cs="Times New Roman"/>
          <w:b w:val="0"/>
          <w:bCs/>
          <w:color w:val="auto"/>
          <w:spacing w:val="0"/>
          <w:sz w:val="32"/>
          <w:szCs w:val="32"/>
          <w:highlight w:val="none"/>
          <w:u w:val="none"/>
          <w:shd w:val="clear" w:color="auto" w:fill="auto"/>
          <w:lang w:val="en-US" w:eastAsia="zh-CN"/>
        </w:rPr>
        <w:t>支持王庄粉皮、王晋甜瓜、边院蓝莓</w:t>
      </w:r>
      <w:r>
        <w:rPr>
          <w:rFonts w:hint="eastAsia" w:ascii="Times New Roman" w:hAnsi="Times New Roman" w:eastAsia="仿宋_GB2312" w:cs="Times New Roman"/>
          <w:b w:val="0"/>
          <w:bCs/>
          <w:color w:val="auto"/>
          <w:spacing w:val="0"/>
          <w:sz w:val="32"/>
          <w:szCs w:val="32"/>
          <w:highlight w:val="none"/>
          <w:u w:val="none"/>
          <w:shd w:val="clear" w:color="auto" w:fill="auto"/>
          <w:lang w:val="en-US" w:eastAsia="zh-CN"/>
        </w:rPr>
        <w:t>、王西水塔豆腐皮</w:t>
      </w:r>
      <w:r>
        <w:rPr>
          <w:rFonts w:hint="default" w:ascii="Times New Roman" w:hAnsi="Times New Roman" w:eastAsia="仿宋_GB2312" w:cs="Times New Roman"/>
          <w:b w:val="0"/>
          <w:bCs/>
          <w:color w:val="auto"/>
          <w:spacing w:val="0"/>
          <w:sz w:val="32"/>
          <w:szCs w:val="32"/>
          <w:highlight w:val="none"/>
          <w:u w:val="none"/>
          <w:shd w:val="clear" w:color="auto" w:fill="auto"/>
          <w:lang w:val="en-US" w:eastAsia="zh-CN"/>
        </w:rPr>
        <w:t>等一批“土特产”提升品质、做强品牌，</w:t>
      </w:r>
      <w:r>
        <w:rPr>
          <w:rFonts w:ascii="Times New Roman" w:hAnsi="Times New Roman" w:eastAsia="仿宋_GB2312" w:cs="Times New Roman"/>
          <w:snapToGrid w:val="0"/>
          <w:color w:val="auto"/>
          <w:spacing w:val="0"/>
          <w:kern w:val="0"/>
          <w:sz w:val="32"/>
          <w:szCs w:val="32"/>
          <w:highlight w:val="none"/>
          <w:shd w:val="clear" w:color="auto" w:fill="auto"/>
          <w:lang w:val="en-US" w:eastAsia="zh-CN"/>
        </w:rPr>
        <w:t>深化与首农食品集团合作，拓宽销售渠道，打响“肥城好品”农产品区域公用品牌。</w:t>
      </w:r>
    </w:p>
    <w:p w14:paraId="20BABBF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推进美丽乡村建设。</w:t>
      </w:r>
      <w:r>
        <w:rPr>
          <w:rFonts w:ascii="Times New Roman" w:hAnsi="Times New Roman" w:eastAsia="仿宋_GB2312" w:cs="Times New Roman"/>
          <w:snapToGrid w:val="0"/>
          <w:color w:val="auto"/>
          <w:spacing w:val="0"/>
          <w:kern w:val="0"/>
          <w:sz w:val="32"/>
          <w:szCs w:val="32"/>
          <w:highlight w:val="none"/>
          <w:shd w:val="clear" w:color="auto" w:fill="auto"/>
          <w:lang w:val="en-US" w:eastAsia="zh-CN"/>
        </w:rPr>
        <w:t>学习运用“千万工程”经验，以潮泉镇、孙伯镇2个省级示范片区为引领，</w:t>
      </w:r>
      <w:r>
        <w:rPr>
          <w:rFonts w:ascii="Times New Roman" w:hAnsi="Times New Roman" w:eastAsia="仿宋_GB2312" w:cs="Times New Roman"/>
          <w:b w:val="0"/>
          <w:bCs/>
          <w:color w:val="auto"/>
          <w:sz w:val="32"/>
          <w:szCs w:val="32"/>
          <w:highlight w:val="none"/>
          <w:shd w:val="clear" w:color="auto" w:fill="auto"/>
          <w:lang w:val="en-US" w:eastAsia="zh-CN"/>
        </w:rPr>
        <w:t>高标准编制全域乡村振兴规划，坚持连片打造、整体提升，创建省、市级和美乡村示范村15个以上。支持仪阳街道创建省级衔接乡村振兴推进区。深入实施国企助力乡村振兴行动，开展国有企业、示范片区“一对一”结对共建。</w:t>
      </w:r>
      <w:r>
        <w:rPr>
          <w:rFonts w:ascii="Times New Roman" w:hAnsi="Times New Roman" w:eastAsia="仿宋_GB2312" w:cs="Times New Roman"/>
          <w:b w:val="0"/>
          <w:bCs w:val="0"/>
          <w:color w:val="auto"/>
          <w:sz w:val="32"/>
          <w:szCs w:val="32"/>
          <w:highlight w:val="none"/>
          <w:shd w:val="clear" w:color="auto" w:fill="auto"/>
          <w:lang w:val="en-US" w:eastAsia="zh-CN"/>
        </w:rPr>
        <w:t>扎实推进农村人居环境整治，</w:t>
      </w:r>
      <w:r>
        <w:rPr>
          <w:rFonts w:ascii="Times New Roman" w:hAnsi="Times New Roman" w:eastAsia="仿宋_GB2312" w:cs="Times New Roman"/>
          <w:b w:val="0"/>
          <w:bCs/>
          <w:color w:val="auto"/>
          <w:sz w:val="32"/>
          <w:szCs w:val="32"/>
          <w:highlight w:val="none"/>
          <w:shd w:val="clear" w:color="auto" w:fill="auto"/>
          <w:lang w:val="en-US" w:eastAsia="zh-CN"/>
        </w:rPr>
        <w:t>提升城乡供水一体化水平，加快建设群将湖地表水厂，铺设供水管网12公里。</w:t>
      </w:r>
      <w:r>
        <w:rPr>
          <w:rFonts w:ascii="Times New Roman" w:hAnsi="Times New Roman" w:eastAsia="仿宋_GB2312" w:cs="Times New Roman"/>
          <w:b w:val="0"/>
          <w:bCs w:val="0"/>
          <w:color w:val="auto"/>
          <w:sz w:val="32"/>
          <w:szCs w:val="32"/>
          <w:highlight w:val="none"/>
          <w:shd w:val="clear" w:color="auto" w:fill="auto"/>
          <w:lang w:val="en-US" w:eastAsia="zh-CN"/>
        </w:rPr>
        <w:t>增强农村公路通行能力，新改建农村公路80公里。</w:t>
      </w:r>
    </w:p>
    <w:p w14:paraId="70F7059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bCs/>
          <w:color w:val="auto"/>
          <w:spacing w:val="0"/>
          <w:sz w:val="32"/>
          <w:szCs w:val="32"/>
          <w:highlight w:val="none"/>
          <w:shd w:val="clear" w:color="auto" w:fill="auto"/>
          <w:lang w:eastAsia="zh-CN"/>
        </w:rPr>
      </w:pPr>
      <w:r>
        <w:rPr>
          <w:rFonts w:ascii="Times New Roman" w:hAnsi="Times New Roman" w:eastAsia="仿宋_GB2312" w:cs="Times New Roman"/>
          <w:b/>
          <w:bCs w:val="0"/>
          <w:color w:val="auto"/>
          <w:spacing w:val="0"/>
          <w:sz w:val="32"/>
          <w:szCs w:val="32"/>
          <w:highlight w:val="none"/>
          <w:shd w:val="clear" w:color="auto" w:fill="auto"/>
          <w:lang w:val="en-US" w:eastAsia="zh-CN"/>
        </w:rPr>
        <w:t>加快强村富农步伐。</w:t>
      </w:r>
      <w:r>
        <w:rPr>
          <w:rFonts w:ascii="Times New Roman" w:hAnsi="Times New Roman" w:eastAsia="仿宋_GB2312" w:cs="Times New Roman"/>
          <w:snapToGrid w:val="0"/>
          <w:color w:val="auto"/>
          <w:spacing w:val="0"/>
          <w:kern w:val="0"/>
          <w:sz w:val="32"/>
          <w:szCs w:val="32"/>
          <w:highlight w:val="none"/>
          <w:shd w:val="clear" w:color="auto" w:fill="auto"/>
          <w:lang w:val="en-US" w:eastAsia="zh-CN"/>
        </w:rPr>
        <w:t>开展农业社会化托管服务“扩面、提质、增效”三大行动，全托管村达到60个以上。培育壮大农业新型经营主体，支持富世康争创国家级农业龙头企业，新增市级以上农业龙头企业5家、重点监测农民合作社15家、家庭农场30家。</w:t>
      </w:r>
      <w:r>
        <w:rPr>
          <w:rFonts w:ascii="Times New Roman" w:hAnsi="Times New Roman" w:eastAsia="仿宋_GB2312" w:cs="Times New Roman"/>
          <w:b w:val="0"/>
          <w:bCs/>
          <w:color w:val="auto"/>
          <w:sz w:val="32"/>
          <w:szCs w:val="32"/>
          <w:highlight w:val="none"/>
          <w:shd w:val="clear" w:color="auto" w:fill="auto"/>
          <w:lang w:val="en-US" w:eastAsia="zh-CN"/>
        </w:rPr>
        <w:t>大力发展资源发包、物业服务、资产参股等新型农村集体经济，力争村集体收入过20万元村实现全覆盖。实</w:t>
      </w:r>
      <w:r>
        <w:rPr>
          <w:rFonts w:ascii="Times New Roman" w:hAnsi="Times New Roman" w:eastAsia="仿宋_GB2312" w:cs="Times New Roman"/>
          <w:snapToGrid w:val="0"/>
          <w:color w:val="auto"/>
          <w:spacing w:val="0"/>
          <w:kern w:val="0"/>
          <w:sz w:val="32"/>
          <w:szCs w:val="32"/>
          <w:highlight w:val="none"/>
          <w:shd w:val="clear" w:color="auto" w:fill="auto"/>
          <w:lang w:val="en-US" w:eastAsia="zh-CN"/>
        </w:rPr>
        <w:t>施高素质农民培育工程，支持“乡土专家”、科技示范户带头致富，培训高素质农民350人以上。</w:t>
      </w:r>
    </w:p>
    <w:p w14:paraId="226EE3B2">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z w:val="32"/>
          <w:szCs w:val="32"/>
          <w:lang w:val="en-US" w:eastAsia="zh-CN"/>
        </w:rPr>
      </w:pPr>
      <w:r>
        <w:rPr>
          <w:rFonts w:ascii="Times New Roman" w:hAnsi="Times New Roman" w:eastAsia="楷体_GB2312" w:cs="Times New Roman"/>
          <w:b/>
          <w:bCs/>
          <w:snapToGrid w:val="0"/>
          <w:color w:val="auto"/>
          <w:kern w:val="0"/>
          <w:sz w:val="32"/>
          <w:szCs w:val="32"/>
          <w:highlight w:val="none"/>
          <w:u w:val="none"/>
          <w:shd w:val="clear" w:color="auto" w:fill="auto"/>
          <w:lang w:val="en-US" w:eastAsia="zh-CN"/>
        </w:rPr>
        <w:t>（五）着力推动精品城市建设，加快提升功能品质。</w:t>
      </w:r>
      <w:r>
        <w:rPr>
          <w:rFonts w:ascii="Times New Roman" w:hAnsi="Times New Roman" w:eastAsia="仿宋_GB2312" w:cs="Times New Roman"/>
          <w:b w:val="0"/>
          <w:bCs/>
          <w:color w:val="auto"/>
          <w:sz w:val="32"/>
          <w:szCs w:val="32"/>
          <w:highlight w:val="none"/>
          <w:shd w:val="clear" w:color="auto" w:fill="auto"/>
          <w:lang w:val="en-US" w:eastAsia="zh-CN"/>
        </w:rPr>
        <w:t>统筹规划、建设、管理，</w:t>
      </w:r>
      <w:r>
        <w:rPr>
          <w:rFonts w:ascii="Times New Roman" w:hAnsi="Times New Roman" w:eastAsia="仿宋_GB2312" w:cs="Times New Roman"/>
          <w:sz w:val="32"/>
          <w:szCs w:val="32"/>
        </w:rPr>
        <w:t>持续优化环境、完善功能、加强治理，</w:t>
      </w:r>
      <w:r>
        <w:rPr>
          <w:rFonts w:ascii="Times New Roman" w:hAnsi="Times New Roman" w:eastAsia="仿宋_GB2312" w:cs="Times New Roman"/>
          <w:sz w:val="32"/>
          <w:szCs w:val="32"/>
          <w:lang w:val="en-US" w:eastAsia="zh-CN"/>
        </w:rPr>
        <w:t>让城市更加</w:t>
      </w:r>
      <w:r>
        <w:rPr>
          <w:rFonts w:ascii="Times New Roman" w:hAnsi="Times New Roman" w:eastAsia="仿宋_GB2312" w:cs="Times New Roman"/>
          <w:sz w:val="32"/>
          <w:szCs w:val="32"/>
        </w:rPr>
        <w:t>宜居宜业</w:t>
      </w:r>
      <w:r>
        <w:rPr>
          <w:rFonts w:ascii="Times New Roman" w:hAnsi="Times New Roman" w:eastAsia="仿宋_GB2312" w:cs="Times New Roman"/>
          <w:sz w:val="32"/>
          <w:szCs w:val="32"/>
          <w:lang w:eastAsia="zh-CN"/>
        </w:rPr>
        <w:t>，</w:t>
      </w:r>
      <w:r>
        <w:rPr>
          <w:rFonts w:ascii="Times New Roman" w:hAnsi="Times New Roman" w:eastAsia="仿宋_GB2312" w:cs="Times New Roman"/>
          <w:sz w:val="32"/>
          <w:szCs w:val="32"/>
        </w:rPr>
        <w:t>更好地丰富承载、凝聚人气</w:t>
      </w:r>
      <w:r>
        <w:rPr>
          <w:rFonts w:ascii="Times New Roman" w:hAnsi="Times New Roman" w:eastAsia="仿宋_GB2312" w:cs="Times New Roman"/>
          <w:sz w:val="32"/>
          <w:szCs w:val="32"/>
          <w:lang w:val="en-US" w:eastAsia="zh-CN"/>
        </w:rPr>
        <w:t>。</w:t>
      </w:r>
    </w:p>
    <w:p w14:paraId="5370AA5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b w:val="0"/>
          <w:bCs w:val="0"/>
          <w:color w:val="auto"/>
          <w:sz w:val="32"/>
          <w:szCs w:val="32"/>
          <w:highlight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科学规划统筹优化城市空间。</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充分发挥国土空间规划引领作用，加快编制各类专项规划、详细规划，统筹布局公共设施，严格城市风貌管控。加快东部城区</w:t>
      </w:r>
      <w:r>
        <w:rPr>
          <w:rFonts w:ascii="Times New Roman" w:hAnsi="Times New Roman" w:eastAsia="仿宋_GB2312" w:cs="Times New Roman"/>
          <w:b w:val="0"/>
          <w:bCs w:val="0"/>
          <w:color w:val="auto"/>
          <w:sz w:val="32"/>
          <w:szCs w:val="32"/>
          <w:highlight w:val="none"/>
          <w:shd w:val="clear" w:color="auto" w:fill="auto"/>
          <w:lang w:val="en-US" w:eastAsia="zh-CN"/>
        </w:rPr>
        <w:t>城市功能提升</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以建安综合服务为核心，均衡配置总部办公、教育卫生、商业综合体、高品质住宅等优质资源，打造产城融合示范片区。推进赵庄社区、市民中心片区有机更新。畅通城市内外双循环，铺开泰东路大修、龙山路西延、金牛山大街南延，加快济微高速公路建设、泰肥铁路扩能改造。</w:t>
      </w:r>
      <w:r>
        <w:rPr>
          <w:rFonts w:ascii="Times New Roman" w:hAnsi="Times New Roman" w:eastAsia="仿宋_GB2312" w:cs="Times New Roman"/>
          <w:b w:val="0"/>
          <w:bCs w:val="0"/>
          <w:color w:val="auto"/>
          <w:sz w:val="32"/>
          <w:szCs w:val="32"/>
          <w:highlight w:val="none"/>
          <w:shd w:val="clear" w:color="auto" w:fill="auto"/>
          <w:lang w:val="en-US" w:eastAsia="zh-CN"/>
        </w:rPr>
        <w:t>加快实施活水绕城、“十里画廊”景观提升等重点项目，以龙山河、康王河沿河景观美化城区风貌。</w:t>
      </w:r>
    </w:p>
    <w:p w14:paraId="2150B8B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楷体_GB2312" w:cs="Times New Roman"/>
          <w:b/>
          <w:bCs/>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精细抓好管理提升承载能力。</w:t>
      </w:r>
      <w:r>
        <w:rPr>
          <w:rFonts w:ascii="Times New Roman" w:hAnsi="Times New Roman" w:eastAsia="仿宋_GB2312" w:cs="Times New Roman"/>
          <w:b w:val="0"/>
          <w:bCs w:val="0"/>
          <w:color w:val="auto"/>
          <w:sz w:val="32"/>
          <w:szCs w:val="32"/>
          <w:highlight w:val="none"/>
          <w:shd w:val="clear" w:color="auto" w:fill="auto"/>
          <w:lang w:val="en-US" w:eastAsia="zh-CN"/>
        </w:rPr>
        <w:t>抢抓城市更新列入政府投资支持重点利好，</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统筹推进“四好”建设，启动</w:t>
      </w:r>
      <w:r>
        <w:rPr>
          <w:rFonts w:ascii="Times New Roman" w:hAnsi="Times New Roman" w:eastAsia="仿宋_GB2312" w:cs="Times New Roman"/>
          <w:b w:val="0"/>
          <w:bCs w:val="0"/>
          <w:color w:val="auto"/>
          <w:sz w:val="32"/>
          <w:szCs w:val="32"/>
          <w:highlight w:val="none"/>
          <w:shd w:val="clear" w:color="auto" w:fill="auto"/>
          <w:lang w:val="en-US" w:eastAsia="zh-CN"/>
        </w:rPr>
        <w:t>143个</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老旧小区改造，</w:t>
      </w:r>
      <w:r>
        <w:rPr>
          <w:rFonts w:ascii="Times New Roman" w:hAnsi="Times New Roman" w:eastAsia="仿宋_GB2312" w:cs="Times New Roman"/>
          <w:b w:val="0"/>
          <w:bCs w:val="0"/>
          <w:color w:val="auto"/>
          <w:sz w:val="32"/>
          <w:szCs w:val="32"/>
          <w:highlight w:val="none"/>
          <w:shd w:val="clear" w:color="auto" w:fill="auto"/>
          <w:lang w:val="en-US" w:eastAsia="zh-CN"/>
        </w:rPr>
        <w:t>创建“美好家园”等示范小区2个以上。</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优化公交线路5条，</w:t>
      </w:r>
      <w:r>
        <w:rPr>
          <w:rFonts w:ascii="Times New Roman" w:hAnsi="Times New Roman" w:eastAsia="仿宋_GB2312" w:cs="Times New Roman"/>
          <w:b w:val="0"/>
          <w:bCs w:val="0"/>
          <w:color w:val="auto"/>
          <w:sz w:val="32"/>
          <w:szCs w:val="32"/>
          <w:highlight w:val="none"/>
          <w:shd w:val="clear" w:color="auto" w:fill="auto"/>
          <w:lang w:val="en-US" w:eastAsia="zh-CN"/>
        </w:rPr>
        <w:t>新建公共充电桩200台</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。新改建供水管网95公里、天然气中压管线1.7公里、雨污管网3公里，新增供热面积53万平方米。</w:t>
      </w:r>
      <w:r>
        <w:rPr>
          <w:rFonts w:ascii="Times New Roman" w:hAnsi="Times New Roman" w:eastAsia="仿宋_GB2312" w:cs="Times New Roman"/>
          <w:b w:val="0"/>
          <w:bCs w:val="0"/>
          <w:color w:val="auto"/>
          <w:sz w:val="32"/>
          <w:szCs w:val="32"/>
          <w:highlight w:val="none"/>
          <w:shd w:val="clear" w:color="auto" w:fill="auto"/>
          <w:lang w:val="en-US" w:eastAsia="zh-CN"/>
        </w:rPr>
        <w:t>因地制宜布局城市小品，新改建口袋公园10个、城市绿道5公里，确保建成区绿化覆盖率达到45%以上。</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扎实开展农贸市场、背街小巷环境整治，加强公厕、垃圾中转站、建筑垃圾无害化处理设施建设管理，</w:t>
      </w:r>
      <w:r>
        <w:rPr>
          <w:rFonts w:ascii="Times New Roman" w:hAnsi="Times New Roman" w:eastAsia="仿宋_GB2312" w:cs="Times New Roman"/>
          <w:b w:val="0"/>
          <w:bCs w:val="0"/>
          <w:color w:val="auto"/>
          <w:sz w:val="32"/>
          <w:szCs w:val="32"/>
          <w:highlight w:val="none"/>
          <w:shd w:val="clear" w:color="auto" w:fill="auto"/>
          <w:lang w:val="en-US" w:eastAsia="zh-CN"/>
        </w:rPr>
        <w:t>推动生活垃圾分类试点小区扩面提质。高品质、专业化物业覆盖率达到85%以上。</w:t>
      </w:r>
      <w:r>
        <w:rPr>
          <w:rFonts w:ascii="Times New Roman" w:hAnsi="Times New Roman" w:eastAsia="仿宋_GB2312" w:cs="Times New Roman"/>
          <w:b w:val="0"/>
          <w:bCs/>
          <w:color w:val="auto"/>
          <w:spacing w:val="0"/>
          <w:sz w:val="32"/>
          <w:szCs w:val="32"/>
          <w:highlight w:val="none"/>
          <w:shd w:val="clear" w:color="auto" w:fill="auto"/>
          <w:lang w:val="en-US" w:eastAsia="zh-CN"/>
        </w:rPr>
        <w:t>加快建设“数字肥城”，打造一批成长型、标杆型智慧社区。</w:t>
      </w:r>
    </w:p>
    <w:p w14:paraId="56398835">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做优文旅资源传承城市文脉。</w:t>
      </w:r>
      <w:r>
        <w:rPr>
          <w:rFonts w:ascii="Times New Roman" w:hAnsi="Times New Roman" w:eastAsia="仿宋_GB2312" w:cs="Times New Roman"/>
          <w:b w:val="0"/>
          <w:bCs/>
          <w:color w:val="auto"/>
          <w:spacing w:val="0"/>
          <w:sz w:val="32"/>
          <w:szCs w:val="32"/>
          <w:highlight w:val="none"/>
          <w:shd w:val="clear" w:color="auto" w:fill="auto"/>
          <w:lang w:val="en-US" w:eastAsia="zh-CN"/>
        </w:rPr>
        <w:t>高水平承办2025泰安市文旅产业高质量发展大会，</w:t>
      </w:r>
      <w:r>
        <w:rPr>
          <w:rFonts w:ascii="Times New Roman" w:hAnsi="Times New Roman" w:eastAsia="仿宋_GB2312" w:cs="Times New Roman"/>
          <w:b w:val="0"/>
          <w:bCs w:val="0"/>
          <w:color w:val="auto"/>
          <w:sz w:val="32"/>
          <w:szCs w:val="32"/>
          <w:highlight w:val="none"/>
          <w:shd w:val="clear" w:color="auto" w:fill="auto"/>
          <w:lang w:val="en-US" w:eastAsia="zh-CN"/>
        </w:rPr>
        <w:t>加快建设梦幻桃花源项目，</w:t>
      </w:r>
      <w:r>
        <w:rPr>
          <w:rFonts w:ascii="Times New Roman" w:hAnsi="Times New Roman" w:eastAsia="仿宋_GB2312" w:cs="Times New Roman"/>
          <w:b w:val="0"/>
          <w:bCs/>
          <w:color w:val="auto"/>
          <w:spacing w:val="0"/>
          <w:sz w:val="32"/>
          <w:szCs w:val="32"/>
          <w:highlight w:val="none"/>
          <w:shd w:val="clear" w:color="auto" w:fill="auto"/>
          <w:lang w:val="en-US" w:eastAsia="zh-CN"/>
        </w:rPr>
        <w:t>策划民俗游、研学游、康养游等6条优质旅游线路，带动文旅产业增加值增长8%以上。支持</w:t>
      </w:r>
      <w:r>
        <w:rPr>
          <w:rFonts w:ascii="Times New Roman" w:hAnsi="Times New Roman" w:eastAsia="仿宋_GB2312" w:cs="Times New Roman"/>
          <w:b w:val="0"/>
          <w:bCs w:val="0"/>
          <w:color w:val="auto"/>
          <w:sz w:val="32"/>
          <w:szCs w:val="32"/>
          <w:highlight w:val="none"/>
          <w:shd w:val="clear" w:color="auto" w:fill="auto"/>
          <w:lang w:val="en-US" w:eastAsia="zh-CN"/>
        </w:rPr>
        <w:t>十里桃花·桃源胜境</w:t>
      </w:r>
      <w:r>
        <w:rPr>
          <w:rFonts w:ascii="Times New Roman" w:hAnsi="Times New Roman" w:eastAsia="仿宋_GB2312" w:cs="Times New Roman"/>
          <w:b w:val="0"/>
          <w:bCs/>
          <w:color w:val="auto"/>
          <w:spacing w:val="0"/>
          <w:sz w:val="32"/>
          <w:szCs w:val="32"/>
          <w:highlight w:val="none"/>
          <w:shd w:val="clear" w:color="auto" w:fill="auto"/>
          <w:lang w:val="en-US" w:eastAsia="zh-CN"/>
        </w:rPr>
        <w:t>争创4A级旅游景区、潮泉镇创建省级旅游度假区。推进陶山朝阳洞保护性开发，加快《肥城通史》编修，高标准做好全国第四次文物普查工作。打响聂氏铜艺、甲氏瓯鸡等一批非遗品牌，支持“桃木雕刻技艺”申报国家级非遗项目。持续推进镇街综合文化站、村居综合文化服务中心提档升级</w:t>
      </w:r>
      <w:r>
        <w:rPr>
          <w:rFonts w:ascii="Times New Roman" w:hAnsi="Times New Roman" w:eastAsia="仿宋_GB2312" w:cs="Times New Roman"/>
          <w:b w:val="0"/>
          <w:bCs w:val="0"/>
          <w:color w:val="auto"/>
          <w:sz w:val="32"/>
          <w:szCs w:val="32"/>
          <w:highlight w:val="none"/>
          <w:shd w:val="clear" w:color="auto" w:fill="auto"/>
          <w:lang w:val="en-US" w:eastAsia="zh-CN"/>
        </w:rPr>
        <w:t>。</w:t>
      </w:r>
      <w:r>
        <w:rPr>
          <w:rFonts w:ascii="Times New Roman" w:hAnsi="Times New Roman" w:eastAsia="仿宋_GB2312" w:cs="Times New Roman"/>
          <w:b w:val="0"/>
          <w:bCs/>
          <w:color w:val="auto"/>
          <w:spacing w:val="0"/>
          <w:sz w:val="32"/>
          <w:szCs w:val="32"/>
          <w:highlight w:val="none"/>
          <w:shd w:val="clear" w:color="auto" w:fill="auto"/>
          <w:lang w:val="en-US" w:eastAsia="zh-CN"/>
        </w:rPr>
        <w:t>持续办好全民文化艺术节“五大文化赛事”，开展送戏下乡等各类文化活动1000场次以上。</w:t>
      </w:r>
    </w:p>
    <w:p w14:paraId="3E789884">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b w:val="0"/>
          <w:bCs/>
          <w:color w:val="auto"/>
          <w:spacing w:val="0"/>
          <w:sz w:val="32"/>
          <w:szCs w:val="32"/>
          <w:highlight w:val="none"/>
          <w:shd w:val="clear" w:color="auto" w:fill="auto"/>
          <w:lang w:val="en-US" w:eastAsia="zh-CN"/>
        </w:rPr>
      </w:pPr>
      <w:r>
        <w:rPr>
          <w:rFonts w:ascii="Times New Roman" w:hAnsi="Times New Roman" w:eastAsia="楷体_GB2312" w:cs="Times New Roman"/>
          <w:b/>
          <w:bCs/>
          <w:snapToGrid w:val="0"/>
          <w:color w:val="auto"/>
          <w:kern w:val="0"/>
          <w:sz w:val="32"/>
          <w:szCs w:val="32"/>
          <w:highlight w:val="none"/>
          <w:u w:val="none"/>
          <w:shd w:val="clear" w:color="auto" w:fill="auto"/>
          <w:lang w:val="en-US" w:eastAsia="zh-CN"/>
        </w:rPr>
        <w:t>（六）下大气力改善生态环境，加快建设美丽肥城。</w:t>
      </w:r>
      <w:r>
        <w:rPr>
          <w:rFonts w:ascii="Times New Roman" w:hAnsi="Times New Roman" w:eastAsia="仿宋_GB2312" w:cs="Times New Roman"/>
          <w:b w:val="0"/>
          <w:bCs/>
          <w:color w:val="auto"/>
          <w:spacing w:val="0"/>
          <w:sz w:val="32"/>
          <w:szCs w:val="32"/>
          <w:highlight w:val="none"/>
          <w:shd w:val="clear" w:color="auto" w:fill="auto"/>
          <w:lang w:val="en-US" w:eastAsia="zh-CN"/>
        </w:rPr>
        <w:t>坚持生态优先、绿色发展，协同推进降碳减污扩绿增长，加紧经济社会发展全面绿色转型，加快建设山清水秀的美丽肥城。</w:t>
      </w:r>
    </w:p>
    <w:p w14:paraId="2DE13C4B">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全力推进绿色低碳转型。</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推动能耗双控向碳排放双控转变，系统推广节能环保技术和清洁生产装备综合应用，</w:t>
      </w:r>
      <w:r>
        <w:rPr>
          <w:rFonts w:ascii="Times New Roman" w:hAnsi="Times New Roman" w:eastAsia="仿宋_GB2312" w:cs="Times New Roman"/>
          <w:b w:val="0"/>
          <w:bCs w:val="0"/>
          <w:color w:val="auto"/>
          <w:sz w:val="32"/>
          <w:szCs w:val="32"/>
          <w:highlight w:val="none"/>
          <w:shd w:val="clear" w:color="auto" w:fill="auto"/>
          <w:lang w:val="en-US" w:eastAsia="zh-CN"/>
        </w:rPr>
        <w:t>全力推进工业领域节能降碳技术改造，</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打造“零碳”园区，</w:t>
      </w:r>
      <w:r>
        <w:rPr>
          <w:rFonts w:ascii="Times New Roman" w:hAnsi="Times New Roman" w:eastAsia="仿宋_GB2312" w:cs="Times New Roman"/>
          <w:b w:val="0"/>
          <w:bCs w:val="0"/>
          <w:color w:val="auto"/>
          <w:sz w:val="32"/>
          <w:szCs w:val="32"/>
          <w:highlight w:val="none"/>
          <w:shd w:val="clear" w:color="auto" w:fill="auto"/>
          <w:lang w:val="en-US" w:eastAsia="zh-CN"/>
        </w:rPr>
        <w:t>新入选省级以上绿色制造名单企业6家。</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开展“千乡万村驭风行动”，建设风电项目5个，推动农村地区风电就地就近利用。拓展EOD开发模式，用好“节水贷”“环保担”等绿色金融工具，鼓励更多社会资本支持绿色循环产业发展。</w:t>
      </w:r>
      <w:r>
        <w:rPr>
          <w:rFonts w:hint="default" w:ascii="Times New Roman" w:hAnsi="Times New Roman" w:eastAsia="仿宋_GB2312" w:cs="Times New Roman"/>
          <w:b w:val="0"/>
          <w:bCs/>
          <w:color w:val="auto"/>
          <w:spacing w:val="0"/>
          <w:sz w:val="32"/>
          <w:szCs w:val="32"/>
          <w:highlight w:val="none"/>
          <w:u w:val="none"/>
          <w:shd w:val="clear" w:color="auto" w:fill="auto"/>
          <w:lang w:val="en-US" w:eastAsia="zh-CN"/>
        </w:rPr>
        <w:t>探索“两山”转化制度改革，开展区域碳排放核算体系研究，建设</w:t>
      </w:r>
      <w:r>
        <w:rPr>
          <w:rFonts w:hint="default" w:ascii="Times New Roman" w:hAnsi="Times New Roman" w:eastAsia="仿宋_GB2312" w:cs="Times New Roman"/>
          <w:color w:val="auto"/>
          <w:spacing w:val="0"/>
          <w:sz w:val="32"/>
          <w:szCs w:val="32"/>
          <w:highlight w:val="none"/>
          <w:u w:val="none"/>
          <w:shd w:val="clear" w:color="auto" w:fill="auto"/>
          <w:lang w:val="en-US" w:eastAsia="zh-CN"/>
        </w:rPr>
        <w:t>区域性碳汇交易市场</w:t>
      </w:r>
      <w:r>
        <w:rPr>
          <w:rFonts w:hint="default" w:ascii="Times New Roman" w:hAnsi="Times New Roman" w:eastAsia="仿宋_GB2312" w:cs="Times New Roman"/>
          <w:b w:val="0"/>
          <w:bCs/>
          <w:color w:val="auto"/>
          <w:spacing w:val="0"/>
          <w:sz w:val="32"/>
          <w:szCs w:val="32"/>
          <w:highlight w:val="none"/>
          <w:u w:val="none"/>
          <w:shd w:val="clear" w:color="auto" w:fill="auto"/>
          <w:lang w:val="en-US" w:eastAsia="zh-CN"/>
        </w:rPr>
        <w:t>。</w:t>
      </w:r>
    </w:p>
    <w:p w14:paraId="56B1F9DB">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持续开展污染防治攻坚。</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强化大气污染区域联防联控，确保空气质量优良天数比率稳定向好。</w:t>
      </w:r>
      <w:r>
        <w:rPr>
          <w:rFonts w:ascii="Times New Roman" w:hAnsi="Times New Roman" w:eastAsia="仿宋_GB2312" w:cs="Times New Roman"/>
          <w:b w:val="0"/>
          <w:bCs w:val="0"/>
          <w:color w:val="auto"/>
          <w:sz w:val="32"/>
          <w:szCs w:val="32"/>
          <w:highlight w:val="none"/>
          <w:shd w:val="clear" w:color="auto" w:fill="auto"/>
          <w:lang w:val="en-US" w:eastAsia="zh-CN"/>
        </w:rPr>
        <w:t>实施龙山河、康汇河综合治理，完成3座污水处理厂提标改造、65个村庄生活污水资源化利用</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实现省、市控断面水质稳定达标。深化全域“无废城市”建设，加强工业污染场地治理和农业面源污染防治，实现工业固废、建筑垃圾、危险废物等全链条处置。持续抓好突出生态环境问题排查整治，坚决守住生态底线。</w:t>
      </w:r>
    </w:p>
    <w:p w14:paraId="47769A9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全面推进生态保护修复。</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强化“三线一单”刚性管控，实施生物多样性保护重大工程，加大生态湿地、森林公园等重点生态功能区保护力度。坚决遏制耕地“非农化”，防止耕地“非粮化”，恢复耕地2.4万亩以上。实施“桃都安澜”计划，</w:t>
      </w:r>
      <w:r>
        <w:rPr>
          <w:rFonts w:ascii="Times New Roman" w:hAnsi="Times New Roman" w:eastAsia="仿宋_GB2312" w:cs="Times New Roman"/>
          <w:b w:val="0"/>
          <w:bCs w:val="0"/>
          <w:color w:val="auto"/>
          <w:sz w:val="32"/>
          <w:szCs w:val="32"/>
          <w:highlight w:val="none"/>
          <w:shd w:val="clear" w:color="auto" w:fill="auto"/>
          <w:lang w:val="en-US" w:eastAsia="zh-CN"/>
        </w:rPr>
        <w:t>建设汶阳田中型灌区、大汶河生态廊道等重点工程，</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新增治理水土流失面积10平方公里。完成造林绿化1000亩、森林抚育</w:t>
      </w:r>
      <w:r>
        <w:rPr>
          <w:rFonts w:ascii="Times New Roman" w:hAnsi="Times New Roman" w:eastAsia="仿宋_GB2312" w:cs="Times New Roman"/>
          <w:b w:val="0"/>
          <w:bCs w:val="0"/>
          <w:color w:val="auto"/>
          <w:sz w:val="32"/>
          <w:szCs w:val="32"/>
          <w:highlight w:val="none"/>
          <w:shd w:val="clear" w:color="auto" w:fill="auto"/>
          <w:lang w:val="en-US" w:eastAsia="zh-CN"/>
        </w:rPr>
        <w:t>3400亩</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、廊道绿化20公里。开展矿山地质环境治理工程，完成4处矿山修复治理，支持白庄煤矿创建绿色矿山。</w:t>
      </w:r>
    </w:p>
    <w:p w14:paraId="6304ADA4">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楷体_GB2312" w:cs="Times New Roman"/>
          <w:b/>
          <w:bCs/>
          <w:snapToGrid w:val="0"/>
          <w:color w:val="auto"/>
          <w:kern w:val="0"/>
          <w:sz w:val="32"/>
          <w:szCs w:val="32"/>
          <w:highlight w:val="none"/>
          <w:u w:val="none"/>
          <w:shd w:val="clear" w:color="auto" w:fill="auto"/>
          <w:lang w:val="en-US" w:eastAsia="zh-CN"/>
        </w:rPr>
        <w:t>（七）矢志不渝抓好民生改善，加快增进民生福祉。</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把增进民生福祉作为一切工作的出发点和落脚点，用心用情做好民生工作。</w:t>
      </w:r>
    </w:p>
    <w:p w14:paraId="1B2D7D0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强化民生兜底保障。</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实施就业优先、稳岗优工系列行动，支持重点群体灵活就业，新增城镇就业</w:t>
      </w:r>
      <w:r>
        <w:rPr>
          <w:rFonts w:ascii="Times New Roman" w:hAnsi="Times New Roman" w:eastAsia="仿宋_GB2312" w:cs="Times New Roman"/>
          <w:b w:val="0"/>
          <w:bCs w:val="0"/>
          <w:color w:val="auto"/>
          <w:sz w:val="32"/>
          <w:szCs w:val="32"/>
          <w:highlight w:val="none"/>
          <w:shd w:val="clear" w:color="auto" w:fill="auto"/>
          <w:lang w:val="en-US" w:eastAsia="zh-CN"/>
        </w:rPr>
        <w:t>8000人以上</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。加快城乡公益岗扩容提质，推动“零就业家庭”动态清零。开展“创业齐鲁”行动，发放创业担保贷款7000万元以上。鼓励职业技能提升，</w:t>
      </w:r>
      <w:r>
        <w:rPr>
          <w:rFonts w:ascii="Times New Roman" w:hAnsi="Times New Roman" w:eastAsia="仿宋_GB2312" w:cs="Times New Roman"/>
          <w:b w:val="0"/>
          <w:bCs w:val="0"/>
          <w:color w:val="auto"/>
          <w:sz w:val="32"/>
          <w:szCs w:val="32"/>
          <w:highlight w:val="none"/>
          <w:shd w:val="clear" w:color="auto" w:fill="auto"/>
          <w:lang w:val="en-US" w:eastAsia="zh-CN"/>
        </w:rPr>
        <w:t>新增高技能人才3000人以上</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引导本地企业与泰山技师学院合作，完成职业培训2400人次。完善养老托育体系，实施“五床联动”试点，新建专业化养老机构1处，争创全国老年人友好型社区1个，新增“幸福食堂”2家、普惠性托位350个以上。健全完善社会救助体系，统筹抓好残疾人、低收入家庭、困境妇女儿童的常态化帮扶救助。扩大社会保险覆盖范围，适当提高退休人员基本养老金</w:t>
      </w:r>
      <w:r>
        <w:rPr>
          <w:rFonts w:hint="eastAsia" w:ascii="Times New Roman" w:hAnsi="Times New Roman" w:eastAsia="仿宋_GB2312" w:cs="Times New Roman"/>
          <w:snapToGrid w:val="0"/>
          <w:color w:val="auto"/>
          <w:kern w:val="0"/>
          <w:sz w:val="32"/>
          <w:szCs w:val="32"/>
          <w:highlight w:val="none"/>
          <w:u w:val="none"/>
          <w:shd w:val="clear" w:color="auto" w:fill="auto"/>
          <w:lang w:val="en-US" w:eastAsia="zh-CN"/>
        </w:rPr>
        <w:t>、</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城乡居民基础养老金和医保财政补助标准，新增社保参保人员6000人以上。</w:t>
      </w:r>
    </w:p>
    <w:p w14:paraId="4F4AA7B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both"/>
        <w:textAlignment w:val="baseline"/>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全面发展社会事业。</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有序实施智慧教育项目，完成高新区寄宿制高中、龙山实验学校2处续建工程，新增学位5600个，</w:t>
      </w:r>
      <w:r>
        <w:rPr>
          <w:rFonts w:ascii="Times New Roman" w:hAnsi="Times New Roman" w:eastAsia="仿宋_GB2312" w:cs="Times New Roman"/>
          <w:b w:val="0"/>
          <w:bCs w:val="0"/>
          <w:color w:val="auto"/>
          <w:sz w:val="32"/>
          <w:szCs w:val="32"/>
          <w:highlight w:val="none"/>
          <w:shd w:val="clear" w:color="auto" w:fill="auto"/>
          <w:lang w:val="en-US" w:eastAsia="zh-CN"/>
        </w:rPr>
        <w:t>提升义务教育优质均衡和学前教育普及普惠水平</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。培优中职教育办学，完成首批开放大学招生，支持泰山技师学院创建省级工匠学院。</w:t>
      </w:r>
      <w:r>
        <w:rPr>
          <w:rFonts w:ascii="Times New Roman" w:hAnsi="Times New Roman" w:eastAsia="仿宋_GB2312" w:cs="Times New Roman"/>
          <w:b w:val="0"/>
          <w:bCs w:val="0"/>
          <w:color w:val="auto"/>
          <w:sz w:val="32"/>
          <w:szCs w:val="32"/>
          <w:highlight w:val="none"/>
          <w:shd w:val="clear" w:color="auto" w:fill="auto"/>
          <w:lang w:val="en-US" w:eastAsia="zh-CN"/>
        </w:rPr>
        <w:t>加快建设</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中医医院新院，实施新城医养中心、市人民医院医疗技术中心等重点工程，完成300个村级卫生室改造，常态化开展千名名医进基层活动，促进优质医疗资源扩容下沉，争创全国医养结合示范县、全省医共体建设样板县。深化医保码全流程应用和移动支付，推广医保钱包和信用就医，加快实现职工医保</w:t>
      </w:r>
      <w:r>
        <w:rPr>
          <w:rFonts w:hint="eastAsia" w:ascii="Times New Roman" w:hAnsi="Times New Roman" w:eastAsia="仿宋_GB2312" w:cs="Times New Roman"/>
          <w:snapToGrid w:val="0"/>
          <w:color w:val="auto"/>
          <w:kern w:val="0"/>
          <w:sz w:val="32"/>
          <w:szCs w:val="32"/>
          <w:highlight w:val="none"/>
          <w:u w:val="none"/>
          <w:shd w:val="clear" w:color="auto" w:fill="auto"/>
          <w:lang w:val="en-US" w:eastAsia="zh-CN"/>
        </w:rPr>
        <w:t>个人账户</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资金跨省共济使用。</w:t>
      </w:r>
      <w:r>
        <w:rPr>
          <w:rFonts w:ascii="Times New Roman" w:hAnsi="Times New Roman" w:eastAsia="仿宋_GB2312" w:cs="Times New Roman"/>
          <w:strike w:val="0"/>
          <w:dstrike w:val="0"/>
          <w:snapToGrid w:val="0"/>
          <w:color w:val="auto"/>
          <w:kern w:val="0"/>
          <w:sz w:val="32"/>
          <w:szCs w:val="32"/>
          <w:highlight w:val="none"/>
          <w:u w:val="none"/>
          <w:shd w:val="clear" w:color="auto" w:fill="auto"/>
          <w:lang w:val="en-US" w:eastAsia="zh-CN"/>
        </w:rPr>
        <w:t>抓</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好国防动员、退役军人服务工作，争创新一轮全国双拥模范城。</w:t>
      </w:r>
    </w:p>
    <w:p w14:paraId="2E0B130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ind w:left="0" w:firstLine="643" w:firstLineChars="200"/>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b/>
          <w:bCs/>
          <w:snapToGrid w:val="0"/>
          <w:color w:val="auto"/>
          <w:kern w:val="0"/>
          <w:sz w:val="32"/>
          <w:szCs w:val="32"/>
          <w:highlight w:val="none"/>
          <w:u w:val="none"/>
          <w:shd w:val="clear" w:color="auto" w:fill="auto"/>
          <w:lang w:val="en-US" w:eastAsia="zh-CN"/>
        </w:rPr>
        <w:t>提升社会治理质效。</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纵深推进安全生产治本攻坚三年行动，</w:t>
      </w:r>
      <w:r>
        <w:rPr>
          <w:rFonts w:ascii="Times New Roman" w:hAnsi="Times New Roman" w:eastAsia="仿宋_GB2312" w:cs="Times New Roman"/>
          <w:b w:val="0"/>
          <w:bCs w:val="0"/>
          <w:color w:val="auto"/>
          <w:sz w:val="32"/>
          <w:szCs w:val="32"/>
          <w:highlight w:val="none"/>
          <w:shd w:val="clear" w:color="auto" w:fill="auto"/>
          <w:lang w:val="en-US" w:eastAsia="zh-CN"/>
        </w:rPr>
        <w:t>全力防风险、除隐患、遏事故、保安全</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。加强地方债务化解和隐性债务置换，防控金融机构、城投债、房地产等领域风险，坚决守住不发生系统性金融风险的底线。用好食品安全智慧监管平台，</w:t>
      </w:r>
      <w:r>
        <w:rPr>
          <w:rFonts w:ascii="Times New Roman" w:hAnsi="Times New Roman" w:eastAsia="仿宋_GB2312" w:cs="Times New Roman"/>
          <w:b w:val="0"/>
          <w:bCs w:val="0"/>
          <w:color w:val="auto"/>
          <w:sz w:val="32"/>
          <w:szCs w:val="32"/>
          <w:highlight w:val="none"/>
          <w:shd w:val="clear" w:color="auto" w:fill="auto"/>
          <w:lang w:val="en-US" w:eastAsia="zh-CN"/>
        </w:rPr>
        <w:t>以“数字赋能”探索构建食品药品追溯体系，</w:t>
      </w:r>
      <w:r>
        <w:rPr>
          <w:rFonts w:ascii="Times New Roman" w:hAnsi="Times New Roman" w:eastAsia="仿宋_GB2312" w:cs="Times New Roman"/>
          <w:snapToGrid w:val="0"/>
          <w:color w:val="auto"/>
          <w:kern w:val="0"/>
          <w:sz w:val="32"/>
          <w:szCs w:val="32"/>
          <w:highlight w:val="none"/>
          <w:u w:val="none"/>
          <w:shd w:val="clear" w:color="auto" w:fill="auto"/>
          <w:lang w:val="en-US" w:eastAsia="zh-CN"/>
        </w:rPr>
        <w:t>全力保障群众“舌尖上的安全”。开展“化解矛盾风险维护社会稳定”专项治理，加强社会信用体系建设，推广“红色合伙信用治理”，擦亮“君能调”治理品牌，打造共建共治共享的社会治理新格局。</w:t>
      </w:r>
    </w:p>
    <w:p w14:paraId="597C012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BED0ED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7F6E97F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38C79BD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55E280A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C78177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5DD4626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44AF35B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6BFDC44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1F3C7A1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739ED0F9">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11C0236">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3FE0FA3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68AC47C2">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4F1903E7">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6D6EE41">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557898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34CE368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31520205">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577A200">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0ACA190C">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68554BBA">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6ACD4194">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668224BF">
      <w:pPr>
        <w:keepNext w:val="0"/>
        <w:keepLines w:val="0"/>
        <w:pageBreakBefore w:val="0"/>
        <w:widowControl w:val="0"/>
        <w:shd w:val="clear" w:color="auto" w:fill="auto"/>
        <w:kinsoku/>
        <w:wordWrap/>
        <w:overflowPunct/>
        <w:topLinePunct w:val="0"/>
        <w:autoSpaceDE/>
        <w:autoSpaceDN/>
        <w:bidi w:val="0"/>
        <w:adjustRightInd w:val="0"/>
        <w:snapToGrid w:val="0"/>
        <w:spacing w:beforeAutospacing="0" w:afterAutospacing="0" w:line="560" w:lineRule="exact"/>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p>
    <w:p w14:paraId="2158E5E7">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both"/>
        <w:textAlignment w:val="auto"/>
        <w:rPr>
          <w:rFonts w:ascii="Times New Roman" w:hAnsi="Times New Roman" w:eastAsia="仿宋_GB2312" w:cs="Times New Roman"/>
          <w:snapToGrid w:val="0"/>
          <w:color w:val="auto"/>
          <w:kern w:val="0"/>
          <w:sz w:val="32"/>
          <w:szCs w:val="32"/>
          <w:highlight w:val="none"/>
          <w:u w:val="none"/>
          <w:shd w:val="clear" w:color="auto" w:fill="auto"/>
          <w:lang w:val="en-US" w:eastAsia="zh-CN"/>
        </w:rPr>
      </w:pP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358140</wp:posOffset>
                </wp:positionV>
                <wp:extent cx="5486400" cy="44450"/>
                <wp:effectExtent l="0" t="4444" r="0" b="8255"/>
                <wp:wrapNone/>
                <wp:docPr id="2" name="直接连接符 2"/>
                <wp:cNvGraphicFramePr/>
                <a:graphic xmlns:a="http://schemas.openxmlformats.org/drawingml/2006/main">
                  <a:graphicData uri="http://schemas.microsoft.com/office/word/2010/wordprocessingShape">
                    <wps:wsp>
                      <wps:cNvCnPr/>
                      <wps:spPr>
                        <a:xfrm rot="21600000" flipV="1">
                          <a:off x="0" y="0"/>
                          <a:ext cx="5486400" cy="4445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1.5pt;margin-top:28.2pt;height:3.5pt;width:432pt;z-index:251659264;mso-width-relative:page;mso-height-relative:page;" filled="f" stroked="t" coordsize="21600,21600" o:gfxdata="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IZkaPXAAAACAEAAA8AAAAAAAAAAQAgAAAAIgAAAGRycy9kb3ducmV2Lnht&#10;bFBLAQIUABQAAAAIAIdO4kA1srcnMwIAAEMEAAAOAAAAAAAAAAEAIAAAACYBAABkcnMvZTJvRG9j&#10;LnhtbFBLBQYAAAAABgAGAFkBAADLBQ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28575</wp:posOffset>
                </wp:positionV>
                <wp:extent cx="5486400" cy="44450"/>
                <wp:effectExtent l="0" t="4444" r="0" b="8255"/>
                <wp:wrapNone/>
                <wp:docPr id="3" name="直接连接符 3"/>
                <wp:cNvGraphicFramePr/>
                <a:graphic xmlns:a="http://schemas.openxmlformats.org/drawingml/2006/main">
                  <a:graphicData uri="http://schemas.microsoft.com/office/word/2010/wordprocessingShape">
                    <wps:wsp>
                      <wps:cNvCnPr/>
                      <wps:spPr>
                        <a:xfrm rot="21600000" flipV="1">
                          <a:off x="0" y="0"/>
                          <a:ext cx="5486400" cy="44450"/>
                        </a:xfrm>
                        <a:prstGeom prst="line">
                          <a:avLst/>
                        </a:prstGeom>
                        <a:noFill/>
                        <a:ln w="9525"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_x0000_s1026" o:spid="_x0000_s1026" o:spt="20" style="position:absolute;left:0pt;flip:y;margin-left:-2.25pt;margin-top:2.25pt;height:3.5pt;width:432pt;z-index:251659264;mso-width-relative:page;mso-height-relative:page;" filled="f" stroked="t" coordsize="21600,21600" o:gfxdata="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Sx0V1AAAAAcBAAAPAAAAAAAAAAEAIAAAACIAAABkcnMvZG93bnJldi54bWxQ&#10;SwECFAAUAAAACACHTuJAMsPjTTQCAABDBAAADgAAAAAAAAABACAAAAAjAQAAZHJzL2Uyb0RvYy54&#10;bWxQSwUGAAAAAAYABgBZAQAAyQU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市十</w:t>
      </w:r>
      <w:r>
        <w:rPr>
          <w:rFonts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届人大</w:t>
      </w:r>
      <w:r>
        <w:rPr>
          <w:rFonts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 xml:space="preserve">次会议秘书处      </w:t>
      </w:r>
      <w:r>
        <w:rPr>
          <w:rFonts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en-US" w:eastAsia="zh-CN"/>
        </w:rPr>
        <w:t>2025</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日印</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4A0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75260"/>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75245"/>
                      </a:xfrm>
                      <a:prstGeom prst="rect">
                        <a:avLst/>
                      </a:prstGeom>
                      <a:noFill/>
                      <a:ln w="6350" cap="flat" cmpd="sng">
                        <a:noFill/>
                        <a:prstDash val="solid"/>
                        <a:round/>
                      </a:ln>
                    </wps:spPr>
                    <wps:txbx>
                      <w:txbxContent>
                        <w:p w14:paraId="05DEF251">
                          <w:pPr>
                            <w:pStyle w:val="5"/>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19</w:t>
                          </w:r>
                          <w:r>
                            <w:rPr>
                              <w:rFonts w:ascii="Times New Roman" w:hAnsi="Times New Roman" w:cs="Times New Roman"/>
                              <w:sz w:val="24"/>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3.8pt;width:6pt;mso-position-horizontal:center;mso-position-horizontal-relative:margin;mso-wrap-style:none;z-index:251659264;mso-width-relative:page;mso-height-relative:page;" filled="f" stroked="f" coordsize="21600,21600" o:gfxdata="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5xR/HVAAAAAwEAAA8AAAAAAAAAAQAgAAAAIgAAAGRycy9kb3du&#10;cmV2LnhtbFBLAQIUABQAAAAIAIdO4kC2SSBGAgIAAPMDAAAOAAAAAAAAAAEAIAAAACQBAABkcnMv&#10;ZTJvRG9jLnhtbFBLBQYAAAAABgAGAFkBAACYBQAAAAA=&#10;">
              <v:fill on="f" focussize="0,0"/>
              <v:stroke on="f" weight="0.5pt" joinstyle="round"/>
              <v:imagedata o:title=""/>
              <o:lock v:ext="edit" aspectratio="f"/>
              <v:textbox inset="0mm,0mm,0mm,0mm" style="mso-fit-shape-to-text:t;">
                <w:txbxContent>
                  <w:p w14:paraId="05DEF251">
                    <w:pPr>
                      <w:pStyle w:val="5"/>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19</w:t>
                    </w:r>
                    <w:r>
                      <w:rPr>
                        <w:rFonts w:ascii="Times New Roman" w:hAnsi="Times New Roman" w:cs="Times New Roman"/>
                        <w:sz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rsids>
    <w:rsidRoot w:val="00000000"/>
    <w:rsid w:val="15927434"/>
    <w:rsid w:val="280414D2"/>
    <w:rsid w:val="37D31DEE"/>
    <w:rsid w:val="3EFF8C83"/>
    <w:rsid w:val="3F235F97"/>
    <w:rsid w:val="4071FEC9"/>
    <w:rsid w:val="5DFB6353"/>
    <w:rsid w:val="6CFFABF5"/>
    <w:rsid w:val="6EFF8567"/>
    <w:rsid w:val="7BD7B56F"/>
    <w:rsid w:val="7CDD4F27"/>
    <w:rsid w:val="7D519E33"/>
    <w:rsid w:val="7EF18FE0"/>
    <w:rsid w:val="7EF9F6DA"/>
    <w:rsid w:val="7F3EB5A9"/>
    <w:rsid w:val="97DCDAC5"/>
    <w:rsid w:val="ADF50F62"/>
    <w:rsid w:val="AF3F6D01"/>
    <w:rsid w:val="B69F589C"/>
    <w:rsid w:val="D3EF3454"/>
    <w:rsid w:val="D87F5737"/>
    <w:rsid w:val="DFA37D84"/>
    <w:rsid w:val="E7F8FA40"/>
    <w:rsid w:val="EFFF89BC"/>
    <w:rsid w:val="F77F2BD4"/>
    <w:rsid w:val="F96F3B17"/>
    <w:rsid w:val="F9D3CF08"/>
    <w:rsid w:val="FADC2D5A"/>
    <w:rsid w:val="FCFF8C06"/>
    <w:rsid w:val="FDB95370"/>
    <w:rsid w:val="FDFD8AF2"/>
    <w:rsid w:val="FDFEDEB2"/>
    <w:rsid w:val="FE6B0FB7"/>
    <w:rsid w:val="FEEAAB30"/>
    <w:rsid w:val="FFB93CB7"/>
    <w:rsid w:val="FFDE1440"/>
    <w:rsid w:val="FFF1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2"/>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heading 1 Char"/>
    <w:basedOn w:val="8"/>
    <w:link w:val="2"/>
    <w:qFormat/>
    <w:uiPriority w:val="0"/>
    <w:rPr>
      <w:rFonts w:ascii="Calibri" w:hAnsi="Calibri" w:eastAsia="宋体" w:cs="Arial"/>
      <w:b/>
      <w:bCs/>
      <w:kern w:val="44"/>
      <w:sz w:val="44"/>
      <w:szCs w:val="44"/>
      <w:lang w:val="en-US" w:eastAsia="zh-CN" w:bidi="ar-SA"/>
    </w:rPr>
  </w:style>
  <w:style w:type="character" w:customStyle="1" w:styleId="11">
    <w:name w:val="heading 2 Char"/>
    <w:basedOn w:val="8"/>
    <w:link w:val="3"/>
    <w:qFormat/>
    <w:uiPriority w:val="0"/>
    <w:rPr>
      <w:rFonts w:ascii="Times New Roman" w:hAnsi="Calibri" w:eastAsia="黑体" w:cs="Arial"/>
      <w:b/>
      <w:bCs/>
      <w:kern w:val="2"/>
      <w:sz w:val="32"/>
      <w:szCs w:val="32"/>
      <w:lang w:val="en-US" w:eastAsia="zh-CN" w:bidi="ar-SA"/>
    </w:rPr>
  </w:style>
  <w:style w:type="character" w:customStyle="1" w:styleId="12">
    <w:name w:val="heading 3 Char"/>
    <w:basedOn w:val="8"/>
    <w:link w:val="4"/>
    <w:qFormat/>
    <w:uiPriority w:val="0"/>
    <w:rPr>
      <w:rFonts w:ascii="Calibri" w:hAnsi="Calibri" w:eastAsia="宋体" w:cs="Arial"/>
      <w:b/>
      <w:bCs/>
      <w:kern w:val="2"/>
      <w:sz w:val="32"/>
      <w:szCs w:val="32"/>
      <w:lang w:val="en-US" w:eastAsia="zh-CN" w:bidi="ar-SA"/>
    </w:rPr>
  </w:style>
  <w:style w:type="paragraph" w:customStyle="1" w:styleId="13">
    <w:name w:val="样式1"/>
    <w:basedOn w:val="1"/>
    <w:autoRedefine/>
    <w:qFormat/>
    <w:uiPriority w:val="0"/>
    <w:pPr>
      <w:spacing w:line="600" w:lineRule="exact"/>
      <w:ind w:firstLine="200" w:firstLineChars="200"/>
    </w:pPr>
    <w:rPr>
      <w:rFonts w:ascii="Times New Roman" w:hAnsi="Times New Roman" w:eastAsia="仿宋_GB2312"/>
      <w:sz w:val="32"/>
    </w:rPr>
  </w:style>
  <w:style w:type="paragraph" w:customStyle="1" w:styleId="14">
    <w:name w:val="TOC1"/>
    <w:basedOn w:val="1"/>
    <w:next w:val="1"/>
    <w:qFormat/>
    <w:uiPriority w:val="0"/>
    <w:pPr>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678 0 1 1 1 1"/>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DA8A3-C1D8-4CFA-A789-4B20259EB2BB}">
  <ds:schemaRefs/>
</ds:datastoreItem>
</file>

<file path=docProps/app.xml><?xml version="1.0" encoding="utf-8"?>
<Properties xmlns="http://schemas.openxmlformats.org/officeDocument/2006/extended-properties" xmlns:vt="http://schemas.openxmlformats.org/officeDocument/2006/docPropsVTypes">
  <Template>Normal.eit</Template>
  <Pages>20</Pages>
  <Words>11013</Words>
  <Characters>11508</Characters>
  <Lines>0</Lines>
  <Paragraphs>80</Paragraphs>
  <TotalTime>2</TotalTime>
  <ScaleCrop>false</ScaleCrop>
  <LinksUpToDate>false</LinksUpToDate>
  <CharactersWithSpaces>11519</CharactersWithSpaces>
  <Application>WPS Office_12.1.0.17900_F1E327BC-269C-435d-A152-05C5408002CA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z</cp:lastModifiedBy>
  <cp:lastPrinted>2025-01-27T03:12:00Z</cp:lastPrinted>
  <dcterms:modified xsi:type="dcterms:W3CDTF">2025-02-07T16:55:41Z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ICV">
    <vt:lpwstr>BE9F18EB35CE438BA7D3D75F7E16A406_13</vt:lpwstr>
  </property>
  <property fmtid="{D5CDD505-2E9C-101B-9397-08002B2CF9AE}" pid="4" name="KSOTemplateDocerSaveRecord">
    <vt:lpwstr>eyJoZGlkIjoiNTNkMTIzNzQ3MzNhYjZlYWUyYmE2ZDBiZDlhZWU1YmMiLCJ1c2VySWQiOiIyNjk5NjUzNDQifQ==</vt:lpwstr>
  </property>
</Properties>
</file>