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jc w:val="center"/>
        <w:rPr>
          <w:rFonts w:ascii="方正小标宋简体" w:eastAsia="方正小标宋简体"/>
          <w:sz w:val="52"/>
          <w:szCs w:val="52"/>
        </w:rPr>
      </w:pPr>
      <w:r>
        <w:rPr>
          <w:rFonts w:ascii="方正小标宋简体" w:eastAsia="方正小标宋简体"/>
          <w:sz w:val="52"/>
          <w:szCs w:val="52"/>
        </w:rPr>
        <w:drawing>
          <wp:inline distT="0" distB="0" distL="0" distR="0">
            <wp:extent cx="1704975" cy="1819275"/>
            <wp:effectExtent l="19050" t="0" r="9525" b="0"/>
            <wp:docPr id="1" name="图片 1" descr="200712251282019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07122512820192_2"/>
                    <pic:cNvPicPr>
                      <a:picLocks noChangeAspect="1" noChangeArrowheads="1"/>
                    </pic:cNvPicPr>
                  </pic:nvPicPr>
                  <pic:blipFill>
                    <a:blip r:embed="rId9" cstate="print"/>
                    <a:srcRect/>
                    <a:stretch>
                      <a:fillRect/>
                    </a:stretch>
                  </pic:blipFill>
                  <pic:spPr>
                    <a:xfrm>
                      <a:off x="0" y="0"/>
                      <a:ext cx="1704975" cy="1819275"/>
                    </a:xfrm>
                    <a:prstGeom prst="rect">
                      <a:avLst/>
                    </a:prstGeom>
                    <a:noFill/>
                    <a:ln w="9525">
                      <a:noFill/>
                      <a:miter lim="800000"/>
                      <a:headEnd/>
                      <a:tailEnd/>
                    </a:ln>
                  </pic:spPr>
                </pic:pic>
              </a:graphicData>
            </a:graphic>
          </wp:inline>
        </w:drawing>
      </w:r>
    </w:p>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jc w:val="center"/>
        <w:rPr>
          <w:rFonts w:hint="eastAsia" w:asciiTheme="majorEastAsia" w:hAnsiTheme="majorEastAsia" w:eastAsiaTheme="majorEastAsia" w:cstheme="majorEastAsia"/>
          <w:w w:val="98"/>
          <w:sz w:val="84"/>
          <w:szCs w:val="84"/>
        </w:rPr>
      </w:pPr>
      <w:r>
        <w:rPr>
          <w:rFonts w:hint="eastAsia" w:asciiTheme="majorEastAsia" w:hAnsiTheme="majorEastAsia" w:eastAsiaTheme="majorEastAsia" w:cstheme="majorEastAsia"/>
          <w:w w:val="98"/>
          <w:sz w:val="84"/>
          <w:szCs w:val="84"/>
        </w:rPr>
        <w:t>肥城市人民政府公报</w:t>
      </w:r>
    </w:p>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jc w:val="center"/>
        <w:rPr>
          <w:rFonts w:hint="eastAsia" w:asciiTheme="majorEastAsia" w:hAnsiTheme="majorEastAsia" w:eastAsiaTheme="majorEastAsia" w:cstheme="majorEastAsia"/>
          <w:spacing w:val="40"/>
          <w:sz w:val="72"/>
          <w:szCs w:val="72"/>
          <w:lang w:val="en-US" w:eastAsia="zh-CN"/>
        </w:rPr>
      </w:pPr>
      <w:r>
        <w:rPr>
          <w:rFonts w:hint="eastAsia" w:asciiTheme="majorEastAsia" w:hAnsiTheme="majorEastAsia" w:eastAsiaTheme="majorEastAsia" w:cstheme="majorEastAsia"/>
          <w:spacing w:val="40"/>
          <w:sz w:val="72"/>
          <w:szCs w:val="72"/>
        </w:rPr>
        <w:t>20</w:t>
      </w:r>
      <w:r>
        <w:rPr>
          <w:rFonts w:hint="eastAsia" w:asciiTheme="majorEastAsia" w:hAnsiTheme="majorEastAsia" w:eastAsiaTheme="majorEastAsia" w:cstheme="majorEastAsia"/>
          <w:spacing w:val="40"/>
          <w:sz w:val="72"/>
          <w:szCs w:val="72"/>
          <w:lang w:val="en-US" w:eastAsia="zh-CN"/>
        </w:rPr>
        <w:t>20</w:t>
      </w:r>
    </w:p>
    <w:p>
      <w:pPr>
        <w:jc w:val="center"/>
        <w:rPr>
          <w:rFonts w:hint="eastAsia" w:ascii="宋体" w:hAnsi="宋体" w:eastAsia="宋体" w:cs="宋体"/>
          <w:b/>
          <w:spacing w:val="-10"/>
          <w:sz w:val="44"/>
          <w:szCs w:val="44"/>
        </w:rPr>
        <w:sectPr>
          <w:headerReference r:id="rId3" w:type="default"/>
          <w:footerReference r:id="rId5" w:type="default"/>
          <w:headerReference r:id="rId4" w:type="even"/>
          <w:pgSz w:w="11906" w:h="16838"/>
          <w:pgMar w:top="1418" w:right="1588" w:bottom="1418" w:left="1588" w:header="851" w:footer="992" w:gutter="0"/>
          <w:pgNumType w:fmt="numberInDash"/>
          <w:cols w:space="425" w:num="1"/>
          <w:titlePg/>
          <w:docGrid w:type="lines" w:linePitch="312" w:charSpace="0"/>
        </w:sectPr>
      </w:pPr>
      <w:r>
        <w:rPr>
          <w:rFonts w:hint="eastAsia" w:ascii="宋体" w:hAnsi="宋体" w:eastAsia="宋体" w:cs="宋体"/>
          <w:b/>
          <w:spacing w:val="-10"/>
          <w:sz w:val="44"/>
          <w:szCs w:val="44"/>
        </w:rPr>
        <w:t>第2期（总第</w:t>
      </w:r>
      <w:r>
        <w:rPr>
          <w:rFonts w:hint="eastAsia" w:ascii="宋体" w:hAnsi="宋体" w:eastAsia="宋体" w:cs="宋体"/>
          <w:b/>
          <w:spacing w:val="-10"/>
          <w:sz w:val="44"/>
          <w:szCs w:val="44"/>
          <w:lang w:val="en-US" w:eastAsia="zh-CN"/>
        </w:rPr>
        <w:t>9</w:t>
      </w:r>
      <w:r>
        <w:rPr>
          <w:rFonts w:hint="eastAsia" w:ascii="宋体" w:hAnsi="宋体" w:eastAsia="宋体" w:cs="宋体"/>
          <w:b/>
          <w:spacing w:val="-10"/>
          <w:sz w:val="44"/>
          <w:szCs w:val="44"/>
        </w:rPr>
        <w:t>期）</w:t>
      </w:r>
    </w:p>
    <w:p>
      <w:pPr>
        <w:widowControl/>
        <w:jc w:val="center"/>
        <w:rPr>
          <w:rFonts w:ascii="黑体" w:hAnsi="黑体" w:eastAsia="黑体"/>
          <w:sz w:val="32"/>
          <w:szCs w:val="32"/>
        </w:rPr>
      </w:pPr>
      <w:r>
        <w:rPr>
          <w:rFonts w:hint="eastAsia" w:ascii="黑体" w:hAnsi="黑体" w:eastAsia="黑体"/>
          <w:sz w:val="32"/>
          <w:szCs w:val="32"/>
        </w:rPr>
        <w:t>目  录</w:t>
      </w:r>
    </w:p>
    <w:p>
      <w:pPr>
        <w:widowControl/>
        <w:jc w:val="left"/>
        <w:rPr>
          <w:rFonts w:ascii="黑体" w:hAnsi="黑体" w:eastAsia="黑体"/>
          <w:sz w:val="32"/>
          <w:szCs w:val="32"/>
        </w:rPr>
      </w:pPr>
      <w:r>
        <w:rPr>
          <w:rFonts w:hint="eastAsia" w:ascii="黑体" w:hAnsi="黑体" w:eastAsia="黑体"/>
          <w:sz w:val="32"/>
          <w:szCs w:val="32"/>
        </w:rPr>
        <w:t>一、政府文件</w:t>
      </w:r>
    </w:p>
    <w:p>
      <w:pPr>
        <w:pStyle w:val="7"/>
        <w:shd w:val="clear" w:color="auto" w:fill="FFFFFF"/>
        <w:spacing w:before="0" w:beforeAutospacing="0" w:after="0" w:afterAutospacing="0" w:line="300" w:lineRule="atLeast"/>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1、</w:t>
      </w:r>
      <w:r>
        <w:rPr>
          <w:rFonts w:hint="eastAsia" w:ascii="仿宋" w:hAnsi="仿宋" w:eastAsia="仿宋" w:cs="仿宋"/>
          <w:b w:val="0"/>
          <w:i w:val="0"/>
          <w:caps w:val="0"/>
          <w:color w:val="333333"/>
          <w:spacing w:val="0"/>
          <w:sz w:val="24"/>
          <w:szCs w:val="24"/>
          <w:u w:val="none"/>
          <w:shd w:val="clear" w:fill="FFFFFF"/>
        </w:rPr>
        <w:t> </w:t>
      </w:r>
      <w:r>
        <w:rPr>
          <w:rFonts w:hint="eastAsia" w:ascii="仿宋_GB2312" w:eastAsia="仿宋_GB2312" w:hAnsiTheme="minorHAnsi" w:cstheme="minorBidi"/>
          <w:kern w:val="2"/>
          <w:sz w:val="32"/>
          <w:szCs w:val="32"/>
        </w:rPr>
        <w:fldChar w:fldCharType="begin"/>
      </w:r>
      <w:r>
        <w:rPr>
          <w:rFonts w:hint="eastAsia" w:ascii="仿宋_GB2312" w:eastAsia="仿宋_GB2312" w:hAnsiTheme="minorHAnsi" w:cstheme="minorBidi"/>
          <w:kern w:val="2"/>
          <w:sz w:val="32"/>
          <w:szCs w:val="32"/>
        </w:rPr>
        <w:instrText xml:space="preserve"> HYPERLINK "http://www.feicheng.gov.cn/art/2020/4/17/art_173799_9919658.html?xxgkhide=1" \t "http://www.feicheng.gov.cn/art/2020/6/30/_blank" </w:instrText>
      </w:r>
      <w:r>
        <w:rPr>
          <w:rFonts w:hint="eastAsia" w:ascii="仿宋_GB2312" w:eastAsia="仿宋_GB2312" w:hAnsiTheme="minorHAnsi" w:cstheme="minorBidi"/>
          <w:kern w:val="2"/>
          <w:sz w:val="32"/>
          <w:szCs w:val="32"/>
        </w:rPr>
        <w:fldChar w:fldCharType="separate"/>
      </w:r>
      <w:r>
        <w:rPr>
          <w:rFonts w:hint="eastAsia" w:ascii="仿宋_GB2312" w:eastAsia="仿宋_GB2312" w:hAnsiTheme="minorHAnsi" w:cstheme="minorBidi"/>
          <w:kern w:val="2"/>
          <w:sz w:val="32"/>
          <w:szCs w:val="32"/>
        </w:rPr>
        <w:t>肥城市人民政府关于印发肥城市城市基础设施配套费征收使用管理办法的通知</w:t>
      </w:r>
      <w:r>
        <w:rPr>
          <w:rFonts w:hint="eastAsia" w:ascii="仿宋_GB2312" w:eastAsia="仿宋_GB2312" w:hAnsiTheme="minorHAnsi" w:cstheme="minorBidi"/>
          <w:kern w:val="2"/>
          <w:sz w:val="32"/>
          <w:szCs w:val="32"/>
        </w:rPr>
        <w:fldChar w:fldCharType="end"/>
      </w:r>
    </w:p>
    <w:p>
      <w:pPr>
        <w:rPr>
          <w:rFonts w:ascii="楷体_GB2312" w:eastAsia="楷体_GB2312"/>
          <w:sz w:val="32"/>
          <w:szCs w:val="32"/>
        </w:rPr>
      </w:pPr>
      <w:r>
        <w:rPr>
          <w:rFonts w:hint="eastAsia" w:ascii="楷体_GB2312" w:eastAsia="楷体_GB2312"/>
          <w:sz w:val="32"/>
          <w:szCs w:val="32"/>
        </w:rPr>
        <w:t>（肥政发〔2020〕2号）</w:t>
      </w:r>
      <w:r>
        <w:rPr>
          <w:rFonts w:ascii="楷体_GB2312" w:eastAsia="楷体_GB2312"/>
          <w:sz w:val="32"/>
          <w:szCs w:val="32"/>
        </w:rPr>
        <w:t>……………………………………………………</w:t>
      </w:r>
      <w:r>
        <w:rPr>
          <w:rFonts w:hint="eastAsia" w:ascii="楷体_GB2312" w:eastAsia="楷体_GB2312"/>
          <w:sz w:val="32"/>
          <w:szCs w:val="32"/>
        </w:rPr>
        <w:t>.（1）</w:t>
      </w:r>
    </w:p>
    <w:p>
      <w:pPr>
        <w:pStyle w:val="7"/>
        <w:shd w:val="clear" w:color="auto" w:fill="FFFFFF"/>
        <w:spacing w:before="0" w:beforeAutospacing="0" w:after="0" w:afterAutospacing="0" w:line="300" w:lineRule="atLeast"/>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2、肥城市人民政府关于印发加快实施健康肥城行动全面推进健康肥城建设工作方案的通知</w:t>
      </w:r>
    </w:p>
    <w:p>
      <w:pPr>
        <w:rPr>
          <w:rFonts w:hint="eastAsia" w:ascii="楷体_GB2312" w:eastAsia="楷体_GB2312"/>
          <w:sz w:val="32"/>
          <w:szCs w:val="32"/>
        </w:rPr>
      </w:pPr>
      <w:r>
        <w:rPr>
          <w:rFonts w:hint="eastAsia" w:ascii="楷体_GB2312" w:eastAsia="楷体_GB2312"/>
          <w:sz w:val="32"/>
          <w:szCs w:val="32"/>
        </w:rPr>
        <w:t>（肥政</w:t>
      </w:r>
      <w:r>
        <w:rPr>
          <w:rFonts w:hint="eastAsia" w:ascii="楷体_GB2312" w:eastAsia="楷体_GB2312"/>
          <w:sz w:val="32"/>
          <w:szCs w:val="32"/>
          <w:lang w:val="en-US" w:eastAsia="zh-CN"/>
        </w:rPr>
        <w:t>发</w:t>
      </w:r>
      <w:r>
        <w:rPr>
          <w:rFonts w:hint="eastAsia" w:ascii="楷体_GB2312" w:eastAsia="楷体_GB2312"/>
          <w:sz w:val="32"/>
          <w:szCs w:val="32"/>
        </w:rPr>
        <w:t>〔20</w:t>
      </w:r>
      <w:r>
        <w:rPr>
          <w:rFonts w:hint="eastAsia" w:ascii="楷体_GB2312" w:eastAsia="楷体_GB2312"/>
          <w:sz w:val="32"/>
          <w:szCs w:val="32"/>
          <w:lang w:val="en-US" w:eastAsia="zh-CN"/>
        </w:rPr>
        <w:t>20</w:t>
      </w:r>
      <w:r>
        <w:rPr>
          <w:rFonts w:hint="eastAsia" w:ascii="楷体_GB2312" w:eastAsia="楷体_GB2312"/>
          <w:sz w:val="32"/>
          <w:szCs w:val="32"/>
        </w:rPr>
        <w:t>〕3号）</w:t>
      </w:r>
      <w:r>
        <w:rPr>
          <w:rFonts w:ascii="楷体_GB2312" w:eastAsia="楷体_GB2312"/>
          <w:sz w:val="32"/>
          <w:szCs w:val="32"/>
        </w:rPr>
        <w:t>……………………………………………………</w:t>
      </w:r>
      <w:r>
        <w:rPr>
          <w:rFonts w:hint="eastAsia" w:ascii="楷体_GB2312" w:eastAsia="楷体_GB2312"/>
          <w:sz w:val="32"/>
          <w:szCs w:val="32"/>
        </w:rPr>
        <w:t>.（</w:t>
      </w:r>
      <w:r>
        <w:rPr>
          <w:rFonts w:hint="eastAsia" w:ascii="楷体_GB2312" w:eastAsia="楷体_GB2312"/>
          <w:sz w:val="32"/>
          <w:szCs w:val="32"/>
          <w:lang w:val="en-US" w:eastAsia="zh-CN"/>
        </w:rPr>
        <w:t>7</w:t>
      </w:r>
      <w:r>
        <w:rPr>
          <w:rFonts w:hint="eastAsia" w:ascii="楷体_GB2312" w:eastAsia="楷体_GB2312"/>
          <w:sz w:val="32"/>
          <w:szCs w:val="32"/>
        </w:rPr>
        <w:t>）</w:t>
      </w:r>
    </w:p>
    <w:p>
      <w:pPr>
        <w:rPr>
          <w:rFonts w:hint="eastAsia" w:ascii="仿宋_GB2312" w:eastAsia="仿宋_GB2312"/>
          <w:sz w:val="32"/>
          <w:szCs w:val="32"/>
        </w:rPr>
      </w:pPr>
      <w:r>
        <w:rPr>
          <w:rFonts w:hint="eastAsia" w:ascii="楷体_GB2312" w:eastAsia="楷体_GB2312"/>
          <w:sz w:val="32"/>
          <w:szCs w:val="32"/>
        </w:rPr>
        <w:t>3、</w:t>
      </w:r>
      <w:r>
        <w:rPr>
          <w:rFonts w:hint="eastAsia" w:ascii="仿宋_GB2312" w:eastAsia="仿宋_GB2312"/>
          <w:sz w:val="32"/>
          <w:szCs w:val="32"/>
        </w:rPr>
        <w:t>肥城市人民政府关于调整肥城市基准地价的通知</w:t>
      </w:r>
    </w:p>
    <w:p>
      <w:pPr>
        <w:rPr>
          <w:rFonts w:hint="eastAsia" w:ascii="楷体_GB2312" w:eastAsia="楷体_GB2312"/>
          <w:sz w:val="32"/>
          <w:szCs w:val="32"/>
        </w:rPr>
      </w:pPr>
      <w:r>
        <w:rPr>
          <w:rFonts w:hint="eastAsia" w:ascii="楷体_GB2312" w:eastAsia="楷体_GB2312"/>
          <w:sz w:val="32"/>
          <w:szCs w:val="32"/>
        </w:rPr>
        <w:t>（肥政字〔20</w:t>
      </w:r>
      <w:r>
        <w:rPr>
          <w:rFonts w:hint="eastAsia" w:ascii="楷体_GB2312" w:eastAsia="楷体_GB2312"/>
          <w:sz w:val="32"/>
          <w:szCs w:val="32"/>
          <w:lang w:val="en-US" w:eastAsia="zh-CN"/>
        </w:rPr>
        <w:t>20</w:t>
      </w:r>
      <w:r>
        <w:rPr>
          <w:rFonts w:hint="eastAsia" w:ascii="楷体_GB2312" w:eastAsia="楷体_GB2312"/>
          <w:sz w:val="32"/>
          <w:szCs w:val="32"/>
        </w:rPr>
        <w:t>〕</w:t>
      </w:r>
      <w:r>
        <w:rPr>
          <w:rFonts w:hint="eastAsia" w:ascii="楷体_GB2312" w:eastAsia="楷体_GB2312"/>
          <w:sz w:val="32"/>
          <w:szCs w:val="32"/>
          <w:lang w:val="en-US" w:eastAsia="zh-CN"/>
        </w:rPr>
        <w:t>19</w:t>
      </w:r>
      <w:r>
        <w:rPr>
          <w:rFonts w:hint="eastAsia" w:ascii="楷体_GB2312" w:eastAsia="楷体_GB2312"/>
          <w:sz w:val="32"/>
          <w:szCs w:val="32"/>
        </w:rPr>
        <w:t>号）</w:t>
      </w:r>
      <w:r>
        <w:rPr>
          <w:rFonts w:ascii="楷体_GB2312" w:eastAsia="楷体_GB2312"/>
          <w:sz w:val="32"/>
          <w:szCs w:val="32"/>
        </w:rPr>
        <w:t>……………………………………………………</w:t>
      </w:r>
      <w:r>
        <w:rPr>
          <w:rFonts w:hint="eastAsia" w:ascii="楷体_GB2312" w:eastAsia="楷体_GB2312"/>
          <w:sz w:val="32"/>
          <w:szCs w:val="32"/>
        </w:rPr>
        <w:t>.（</w:t>
      </w:r>
      <w:r>
        <w:rPr>
          <w:rFonts w:hint="eastAsia" w:ascii="楷体_GB2312" w:eastAsia="楷体_GB2312"/>
          <w:sz w:val="32"/>
          <w:szCs w:val="32"/>
          <w:lang w:val="en-US" w:eastAsia="zh-CN"/>
        </w:rPr>
        <w:t>18</w:t>
      </w:r>
      <w:r>
        <w:rPr>
          <w:rFonts w:hint="eastAsia" w:ascii="楷体_GB2312" w:eastAsia="楷体_GB2312"/>
          <w:sz w:val="32"/>
          <w:szCs w:val="32"/>
        </w:rPr>
        <w:t>）</w:t>
      </w:r>
    </w:p>
    <w:p>
      <w:pPr>
        <w:widowControl/>
        <w:jc w:val="left"/>
        <w:rPr>
          <w:rFonts w:ascii="黑体" w:hAnsi="黑体" w:eastAsia="黑体"/>
          <w:sz w:val="32"/>
          <w:szCs w:val="32"/>
        </w:rPr>
      </w:pPr>
      <w:r>
        <w:rPr>
          <w:rFonts w:hint="eastAsia" w:ascii="黑体" w:hAnsi="黑体" w:eastAsia="黑体"/>
          <w:sz w:val="32"/>
          <w:szCs w:val="32"/>
        </w:rPr>
        <w:t>二、政府办公室文件</w:t>
      </w:r>
    </w:p>
    <w:p>
      <w:pPr>
        <w:widowControl/>
        <w:jc w:val="left"/>
        <w:rPr>
          <w:rFonts w:hint="eastAsia" w:ascii="仿宋_GB2312" w:hAnsi="黑体" w:eastAsia="仿宋_GB2312"/>
          <w:sz w:val="32"/>
          <w:szCs w:val="32"/>
        </w:rPr>
      </w:pPr>
      <w:r>
        <w:rPr>
          <w:rFonts w:hint="eastAsia" w:ascii="仿宋_GB2312" w:hAnsi="黑体" w:eastAsia="仿宋_GB2312"/>
          <w:sz w:val="32"/>
          <w:szCs w:val="32"/>
        </w:rPr>
        <w:t>1、肥城市人民政府办公室关于调整部分临时机构和议事协调机构的通知</w:t>
      </w:r>
    </w:p>
    <w:p>
      <w:pPr>
        <w:widowControl/>
        <w:jc w:val="left"/>
        <w:rPr>
          <w:rFonts w:ascii="楷体_GB2312" w:hAnsi="黑体" w:eastAsia="楷体_GB2312"/>
          <w:sz w:val="32"/>
          <w:szCs w:val="32"/>
        </w:rPr>
      </w:pPr>
      <w:r>
        <w:rPr>
          <w:rFonts w:hint="eastAsia" w:ascii="楷体_GB2312" w:hAnsi="黑体" w:eastAsia="楷体_GB2312"/>
          <w:sz w:val="32"/>
          <w:szCs w:val="32"/>
        </w:rPr>
        <w:t>（</w:t>
      </w:r>
      <w:r>
        <w:rPr>
          <w:rFonts w:hint="eastAsia" w:ascii="楷体_GB2312" w:eastAsia="楷体_GB2312" w:hAnsiTheme="minorEastAsia"/>
          <w:sz w:val="32"/>
          <w:szCs w:val="32"/>
        </w:rPr>
        <w:t>肥政办发〔20</w:t>
      </w:r>
      <w:r>
        <w:rPr>
          <w:rFonts w:hint="eastAsia" w:ascii="楷体_GB2312" w:eastAsia="楷体_GB2312" w:hAnsiTheme="minorEastAsia"/>
          <w:sz w:val="32"/>
          <w:szCs w:val="32"/>
          <w:lang w:val="en-US" w:eastAsia="zh-CN"/>
        </w:rPr>
        <w:t>20</w:t>
      </w:r>
      <w:r>
        <w:rPr>
          <w:rFonts w:hint="eastAsia" w:ascii="楷体_GB2312" w:eastAsia="楷体_GB2312" w:hAnsiTheme="minorEastAsia"/>
          <w:sz w:val="32"/>
          <w:szCs w:val="32"/>
        </w:rPr>
        <w:t>〕</w:t>
      </w:r>
      <w:r>
        <w:rPr>
          <w:rFonts w:hint="eastAsia" w:ascii="楷体_GB2312" w:eastAsia="楷体_GB2312" w:hAnsiTheme="minorEastAsia"/>
          <w:sz w:val="32"/>
          <w:szCs w:val="32"/>
          <w:lang w:val="en-US" w:eastAsia="zh-CN"/>
        </w:rPr>
        <w:t>4</w:t>
      </w:r>
      <w:r>
        <w:rPr>
          <w:rFonts w:hint="eastAsia" w:ascii="楷体_GB2312" w:eastAsia="楷体_GB2312" w:hAnsiTheme="minorEastAsia"/>
          <w:sz w:val="32"/>
          <w:szCs w:val="32"/>
        </w:rPr>
        <w:t>号</w:t>
      </w:r>
      <w:r>
        <w:rPr>
          <w:rFonts w:hint="eastAsia" w:ascii="楷体_GB2312" w:hAnsi="黑体" w:eastAsia="楷体_GB2312"/>
          <w:sz w:val="32"/>
          <w:szCs w:val="32"/>
        </w:rPr>
        <w:t>）</w:t>
      </w:r>
      <w:r>
        <w:rPr>
          <w:rFonts w:ascii="楷体_GB2312" w:eastAsia="楷体_GB2312"/>
          <w:sz w:val="32"/>
          <w:szCs w:val="32"/>
        </w:rPr>
        <w:t>……………………………………………………</w:t>
      </w:r>
      <w:r>
        <w:rPr>
          <w:rFonts w:hint="eastAsia" w:ascii="楷体_GB2312" w:eastAsia="楷体_GB2312"/>
          <w:sz w:val="32"/>
          <w:szCs w:val="32"/>
        </w:rPr>
        <w:t>.（</w:t>
      </w:r>
      <w:r>
        <w:rPr>
          <w:rFonts w:hint="eastAsia" w:ascii="楷体_GB2312" w:eastAsia="楷体_GB2312"/>
          <w:sz w:val="32"/>
          <w:szCs w:val="32"/>
          <w:lang w:val="en-US" w:eastAsia="zh-CN"/>
        </w:rPr>
        <w:t>21</w:t>
      </w:r>
      <w:r>
        <w:rPr>
          <w:rFonts w:hint="eastAsia" w:ascii="楷体_GB2312" w:eastAsia="楷体_GB2312"/>
          <w:sz w:val="32"/>
          <w:szCs w:val="32"/>
        </w:rPr>
        <w:t>）</w:t>
      </w:r>
    </w:p>
    <w:p>
      <w:pPr>
        <w:widowControl/>
        <w:jc w:val="left"/>
        <w:rPr>
          <w:rFonts w:hint="eastAsia"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w:t>
      </w:r>
      <w:r>
        <w:rPr>
          <w:rFonts w:hint="eastAsia" w:ascii="仿宋_GB2312" w:hAnsi="黑体" w:eastAsia="仿宋_GB2312"/>
          <w:sz w:val="32"/>
          <w:szCs w:val="32"/>
        </w:rPr>
        <w:fldChar w:fldCharType="begin"/>
      </w:r>
      <w:r>
        <w:rPr>
          <w:rFonts w:hint="eastAsia" w:ascii="仿宋_GB2312" w:hAnsi="黑体" w:eastAsia="仿宋_GB2312"/>
          <w:sz w:val="32"/>
          <w:szCs w:val="32"/>
        </w:rPr>
        <w:instrText xml:space="preserve"> HYPERLINK "http://www.feicheng.gov.cn/art/2020/4/23/art_173800_9919931.html?xxgkhide=1" \t "http://www.feicheng.gov.cn/art/2020/6/30/_blank" </w:instrText>
      </w:r>
      <w:r>
        <w:rPr>
          <w:rFonts w:hint="eastAsia" w:ascii="仿宋_GB2312" w:hAnsi="黑体" w:eastAsia="仿宋_GB2312"/>
          <w:sz w:val="32"/>
          <w:szCs w:val="32"/>
        </w:rPr>
        <w:fldChar w:fldCharType="separate"/>
      </w:r>
      <w:r>
        <w:rPr>
          <w:rFonts w:hint="eastAsia" w:ascii="仿宋_GB2312" w:hAnsi="黑体" w:eastAsia="仿宋_GB2312"/>
          <w:sz w:val="32"/>
          <w:szCs w:val="32"/>
        </w:rPr>
        <w:t>肥城市人民政府办公室关于公布第三届“桃都和谐使者”名单的通知</w:t>
      </w:r>
      <w:r>
        <w:rPr>
          <w:rFonts w:hint="eastAsia" w:ascii="仿宋_GB2312" w:hAnsi="黑体" w:eastAsia="仿宋_GB2312"/>
          <w:sz w:val="32"/>
          <w:szCs w:val="32"/>
        </w:rPr>
        <w:fldChar w:fldCharType="end"/>
      </w:r>
    </w:p>
    <w:p>
      <w:pPr>
        <w:spacing w:line="520" w:lineRule="exact"/>
        <w:rPr>
          <w:rFonts w:hint="eastAsia" w:ascii="楷体_GB2312" w:eastAsia="楷体_GB2312"/>
          <w:sz w:val="32"/>
          <w:szCs w:val="32"/>
        </w:rPr>
      </w:pPr>
      <w:r>
        <w:rPr>
          <w:rFonts w:hint="eastAsia" w:ascii="楷体_GB2312" w:hAnsi="黑体" w:eastAsia="楷体_GB2312"/>
          <w:sz w:val="32"/>
          <w:szCs w:val="32"/>
        </w:rPr>
        <w:t>（</w:t>
      </w:r>
      <w:r>
        <w:rPr>
          <w:rFonts w:hint="eastAsia" w:ascii="楷体_GB2312" w:eastAsia="楷体_GB2312" w:hAnsiTheme="minorEastAsia"/>
          <w:sz w:val="32"/>
          <w:szCs w:val="32"/>
        </w:rPr>
        <w:t>肥政办</w:t>
      </w:r>
      <w:r>
        <w:rPr>
          <w:rFonts w:hint="eastAsia" w:ascii="楷体_GB2312" w:eastAsia="楷体_GB2312" w:hAnsiTheme="minorEastAsia"/>
          <w:sz w:val="32"/>
          <w:szCs w:val="32"/>
          <w:lang w:val="en-US" w:eastAsia="zh-CN"/>
        </w:rPr>
        <w:t>字</w:t>
      </w:r>
      <w:r>
        <w:rPr>
          <w:rFonts w:hint="eastAsia" w:ascii="楷体_GB2312" w:eastAsia="楷体_GB2312" w:hAnsiTheme="minorEastAsia"/>
          <w:sz w:val="32"/>
          <w:szCs w:val="32"/>
        </w:rPr>
        <w:t>〔20</w:t>
      </w:r>
      <w:r>
        <w:rPr>
          <w:rFonts w:hint="eastAsia" w:ascii="楷体_GB2312" w:eastAsia="楷体_GB2312" w:hAnsiTheme="minorEastAsia"/>
          <w:sz w:val="32"/>
          <w:szCs w:val="32"/>
          <w:lang w:val="en-US" w:eastAsia="zh-CN"/>
        </w:rPr>
        <w:t>20</w:t>
      </w:r>
      <w:r>
        <w:rPr>
          <w:rFonts w:hint="eastAsia" w:ascii="楷体_GB2312" w:eastAsia="楷体_GB2312" w:hAnsiTheme="minorEastAsia"/>
          <w:sz w:val="32"/>
          <w:szCs w:val="32"/>
        </w:rPr>
        <w:t>〕</w:t>
      </w:r>
      <w:r>
        <w:rPr>
          <w:rFonts w:hint="eastAsia" w:ascii="楷体_GB2312" w:eastAsia="楷体_GB2312" w:hAnsiTheme="minorEastAsia"/>
          <w:sz w:val="32"/>
          <w:szCs w:val="32"/>
          <w:lang w:val="en-US" w:eastAsia="zh-CN"/>
        </w:rPr>
        <w:t>4</w:t>
      </w:r>
      <w:r>
        <w:rPr>
          <w:rFonts w:hint="eastAsia" w:ascii="楷体_GB2312" w:eastAsia="楷体_GB2312" w:hAnsiTheme="minorEastAsia"/>
          <w:sz w:val="32"/>
          <w:szCs w:val="32"/>
        </w:rPr>
        <w:t>号</w:t>
      </w:r>
      <w:r>
        <w:rPr>
          <w:rFonts w:hint="eastAsia" w:ascii="楷体_GB2312" w:hAnsi="黑体" w:eastAsia="楷体_GB2312"/>
          <w:sz w:val="32"/>
          <w:szCs w:val="32"/>
        </w:rPr>
        <w:t>）</w:t>
      </w:r>
      <w:r>
        <w:rPr>
          <w:rFonts w:ascii="楷体_GB2312" w:eastAsia="楷体_GB2312"/>
          <w:sz w:val="32"/>
          <w:szCs w:val="32"/>
        </w:rPr>
        <w:t>……………………………………………………</w:t>
      </w:r>
      <w:r>
        <w:rPr>
          <w:rFonts w:hint="eastAsia" w:ascii="楷体_GB2312" w:eastAsia="楷体_GB2312"/>
          <w:sz w:val="32"/>
          <w:szCs w:val="32"/>
        </w:rPr>
        <w:t>.（</w:t>
      </w:r>
      <w:r>
        <w:rPr>
          <w:rFonts w:hint="eastAsia" w:ascii="楷体_GB2312" w:eastAsia="楷体_GB2312"/>
          <w:sz w:val="32"/>
          <w:szCs w:val="32"/>
          <w:lang w:val="en-US" w:eastAsia="zh-CN"/>
        </w:rPr>
        <w:t>28</w:t>
      </w:r>
      <w:r>
        <w:rPr>
          <w:rFonts w:hint="eastAsia" w:ascii="楷体_GB2312" w:eastAsia="楷体_GB2312"/>
          <w:sz w:val="32"/>
          <w:szCs w:val="32"/>
        </w:rPr>
        <w:t>）</w:t>
      </w:r>
    </w:p>
    <w:p>
      <w:pPr>
        <w:widowControl/>
        <w:jc w:val="left"/>
        <w:rPr>
          <w:rFonts w:hint="eastAsia" w:ascii="仿宋_GB2312" w:hAnsi="黑体" w:eastAsia="仿宋_GB2312"/>
          <w:sz w:val="32"/>
          <w:szCs w:val="32"/>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sz w:val="32"/>
          <w:szCs w:val="32"/>
        </w:rPr>
        <w:fldChar w:fldCharType="begin"/>
      </w:r>
      <w:r>
        <w:rPr>
          <w:rFonts w:hint="eastAsia" w:ascii="仿宋_GB2312" w:hAnsi="黑体" w:eastAsia="仿宋_GB2312"/>
          <w:sz w:val="32"/>
          <w:szCs w:val="32"/>
        </w:rPr>
        <w:instrText xml:space="preserve"> HYPERLINK "http://www.feicheng.gov.cn/art/2020/5/15/art_173800_9919933.html?xxgkhide=1" \t "http://www.feicheng.gov.cn/art/2020/6/30/_blank" </w:instrText>
      </w:r>
      <w:r>
        <w:rPr>
          <w:rFonts w:hint="eastAsia" w:ascii="仿宋_GB2312" w:hAnsi="黑体" w:eastAsia="仿宋_GB2312"/>
          <w:sz w:val="32"/>
          <w:szCs w:val="32"/>
        </w:rPr>
        <w:fldChar w:fldCharType="separate"/>
      </w:r>
      <w:r>
        <w:rPr>
          <w:rFonts w:hint="eastAsia" w:ascii="仿宋_GB2312" w:hAnsi="黑体" w:eastAsia="仿宋_GB2312"/>
          <w:sz w:val="32"/>
          <w:szCs w:val="32"/>
        </w:rPr>
        <w:t>肥城市人民政府办公室关于印发《肥城市免疫无口蹄疫区和无高致病性禽流感区建设实施方案》的通知</w:t>
      </w:r>
      <w:r>
        <w:rPr>
          <w:rFonts w:hint="eastAsia" w:ascii="仿宋_GB2312" w:hAnsi="黑体" w:eastAsia="仿宋_GB2312"/>
          <w:sz w:val="32"/>
          <w:szCs w:val="32"/>
        </w:rPr>
        <w:fldChar w:fldCharType="end"/>
      </w:r>
    </w:p>
    <w:p>
      <w:pPr>
        <w:widowControl/>
        <w:jc w:val="left"/>
        <w:rPr>
          <w:rFonts w:hint="eastAsia" w:ascii="楷体_GB2312" w:eastAsia="楷体_GB2312"/>
          <w:sz w:val="32"/>
          <w:szCs w:val="32"/>
        </w:rPr>
      </w:pPr>
      <w:r>
        <w:rPr>
          <w:rFonts w:hint="eastAsia" w:ascii="楷体_GB2312" w:hAnsi="黑体" w:eastAsia="楷体_GB2312"/>
          <w:sz w:val="32"/>
          <w:szCs w:val="32"/>
        </w:rPr>
        <w:t>（</w:t>
      </w:r>
      <w:r>
        <w:rPr>
          <w:rFonts w:hint="eastAsia" w:ascii="楷体_GB2312" w:eastAsia="楷体_GB2312" w:hAnsiTheme="minorEastAsia"/>
          <w:sz w:val="32"/>
          <w:szCs w:val="32"/>
        </w:rPr>
        <w:t>肥政办</w:t>
      </w:r>
      <w:r>
        <w:rPr>
          <w:rFonts w:hint="eastAsia" w:ascii="楷体_GB2312" w:eastAsia="楷体_GB2312" w:hAnsiTheme="minorEastAsia"/>
          <w:sz w:val="32"/>
          <w:szCs w:val="32"/>
          <w:lang w:val="en-US" w:eastAsia="zh-CN"/>
        </w:rPr>
        <w:t>字</w:t>
      </w:r>
      <w:r>
        <w:rPr>
          <w:rFonts w:hint="eastAsia" w:ascii="楷体_GB2312" w:eastAsia="楷体_GB2312" w:hAnsiTheme="minorEastAsia"/>
          <w:sz w:val="32"/>
          <w:szCs w:val="32"/>
        </w:rPr>
        <w:t>〔20</w:t>
      </w:r>
      <w:r>
        <w:rPr>
          <w:rFonts w:hint="eastAsia" w:ascii="楷体_GB2312" w:eastAsia="楷体_GB2312" w:hAnsiTheme="minorEastAsia"/>
          <w:sz w:val="32"/>
          <w:szCs w:val="32"/>
          <w:lang w:val="en-US" w:eastAsia="zh-CN"/>
        </w:rPr>
        <w:t>20</w:t>
      </w:r>
      <w:r>
        <w:rPr>
          <w:rFonts w:hint="eastAsia" w:ascii="楷体_GB2312" w:eastAsia="楷体_GB2312" w:hAnsiTheme="minorEastAsia"/>
          <w:sz w:val="32"/>
          <w:szCs w:val="32"/>
        </w:rPr>
        <w:t>〕</w:t>
      </w:r>
      <w:r>
        <w:rPr>
          <w:rFonts w:hint="eastAsia" w:ascii="楷体_GB2312" w:eastAsia="楷体_GB2312" w:hAnsiTheme="minorEastAsia"/>
          <w:sz w:val="32"/>
          <w:szCs w:val="32"/>
          <w:lang w:val="en-US" w:eastAsia="zh-CN"/>
        </w:rPr>
        <w:t>7</w:t>
      </w:r>
      <w:r>
        <w:rPr>
          <w:rFonts w:hint="eastAsia" w:ascii="楷体_GB2312" w:eastAsia="楷体_GB2312" w:hAnsiTheme="minorEastAsia"/>
          <w:sz w:val="32"/>
          <w:szCs w:val="32"/>
        </w:rPr>
        <w:t>号</w:t>
      </w:r>
      <w:r>
        <w:rPr>
          <w:rFonts w:hint="eastAsia" w:ascii="楷体_GB2312" w:hAnsi="黑体" w:eastAsia="楷体_GB2312"/>
          <w:sz w:val="32"/>
          <w:szCs w:val="32"/>
        </w:rPr>
        <w:t>）</w:t>
      </w:r>
      <w:r>
        <w:rPr>
          <w:rFonts w:ascii="楷体_GB2312" w:eastAsia="楷体_GB2312"/>
          <w:sz w:val="32"/>
          <w:szCs w:val="32"/>
        </w:rPr>
        <w:t>……………………………………………………</w:t>
      </w:r>
      <w:r>
        <w:rPr>
          <w:rFonts w:hint="eastAsia" w:ascii="楷体_GB2312" w:eastAsia="楷体_GB2312"/>
          <w:sz w:val="32"/>
          <w:szCs w:val="32"/>
        </w:rPr>
        <w:t>.（</w:t>
      </w:r>
      <w:r>
        <w:rPr>
          <w:rFonts w:hint="eastAsia" w:ascii="楷体_GB2312" w:eastAsia="楷体_GB2312"/>
          <w:sz w:val="32"/>
          <w:szCs w:val="32"/>
          <w:lang w:val="en-US" w:eastAsia="zh-CN"/>
        </w:rPr>
        <w:t>29</w:t>
      </w:r>
      <w:r>
        <w:rPr>
          <w:rFonts w:hint="eastAsia" w:ascii="楷体_GB2312" w:eastAsia="楷体_GB2312"/>
          <w:sz w:val="32"/>
          <w:szCs w:val="32"/>
        </w:rPr>
        <w:t>）</w:t>
      </w:r>
    </w:p>
    <w:p>
      <w:pPr>
        <w:widowControl/>
        <w:jc w:val="left"/>
        <w:rPr>
          <w:rFonts w:hint="eastAsia" w:ascii="楷体_GB2312" w:eastAsia="楷体_GB2312"/>
          <w:sz w:val="32"/>
          <w:szCs w:val="32"/>
        </w:rPr>
      </w:pPr>
    </w:p>
    <w:p>
      <w:pPr>
        <w:spacing w:line="520" w:lineRule="exact"/>
        <w:rPr>
          <w:rFonts w:hint="eastAsia" w:ascii="楷体_GB2312" w:eastAsia="楷体_GB2312"/>
          <w:sz w:val="32"/>
          <w:szCs w:val="32"/>
        </w:rPr>
      </w:pPr>
    </w:p>
    <w:p>
      <w:pPr>
        <w:spacing w:line="520" w:lineRule="exact"/>
        <w:rPr>
          <w:rFonts w:ascii="仿宋_GB2312" w:eastAsia="仿宋_GB2312" w:hAnsiTheme="minorEastAsia"/>
          <w:sz w:val="32"/>
          <w:szCs w:val="32"/>
        </w:rPr>
      </w:pPr>
    </w:p>
    <w:p>
      <w:pPr>
        <w:spacing w:line="520" w:lineRule="exact"/>
        <w:jc w:val="center"/>
        <w:rPr>
          <w:rFonts w:hint="eastAsia" w:ascii="宋体" w:hAnsi="宋体" w:eastAsia="宋体" w:cs="宋体"/>
          <w:sz w:val="44"/>
          <w:szCs w:val="44"/>
        </w:rPr>
      </w:pPr>
      <w:r>
        <w:rPr>
          <w:rFonts w:hint="eastAsia" w:ascii="宋体" w:hAnsi="宋体" w:eastAsia="宋体" w:cs="宋体"/>
          <w:sz w:val="44"/>
          <w:szCs w:val="44"/>
        </w:rPr>
        <w:t>肥城市人民政府</w:t>
      </w:r>
    </w:p>
    <w:p>
      <w:pPr>
        <w:spacing w:line="520" w:lineRule="exact"/>
        <w:jc w:val="center"/>
        <w:rPr>
          <w:rFonts w:hint="eastAsia" w:ascii="宋体" w:hAnsi="宋体" w:eastAsia="宋体" w:cs="宋体"/>
          <w:sz w:val="44"/>
          <w:szCs w:val="44"/>
        </w:rPr>
      </w:pPr>
      <w:r>
        <w:rPr>
          <w:rFonts w:hint="eastAsia" w:ascii="宋体" w:hAnsi="宋体" w:eastAsia="宋体" w:cs="宋体"/>
          <w:sz w:val="44"/>
          <w:szCs w:val="44"/>
        </w:rPr>
        <w:t>关于印发肥城市城市基础设施配套费征收</w:t>
      </w:r>
    </w:p>
    <w:p>
      <w:pPr>
        <w:spacing w:line="520" w:lineRule="exact"/>
        <w:jc w:val="center"/>
        <w:rPr>
          <w:rFonts w:hint="eastAsia" w:ascii="宋体" w:hAnsi="宋体" w:eastAsia="宋体" w:cs="宋体"/>
          <w:sz w:val="44"/>
          <w:szCs w:val="44"/>
        </w:rPr>
      </w:pPr>
      <w:r>
        <w:rPr>
          <w:rFonts w:hint="eastAsia" w:ascii="宋体" w:hAnsi="宋体" w:eastAsia="宋体" w:cs="宋体"/>
          <w:sz w:val="44"/>
          <w:szCs w:val="44"/>
        </w:rPr>
        <w:t>使用管理办法的通知</w:t>
      </w:r>
    </w:p>
    <w:p>
      <w:pPr>
        <w:spacing w:line="520" w:lineRule="exact"/>
        <w:jc w:val="center"/>
        <w:rPr>
          <w:rFonts w:hint="eastAsia" w:ascii="方正小标宋简体" w:eastAsia="方正小标宋简体" w:hAnsiTheme="minorEastAsia"/>
          <w:sz w:val="44"/>
          <w:szCs w:val="44"/>
          <w:lang w:eastAsia="zh-CN"/>
        </w:rPr>
      </w:pPr>
      <w:r>
        <w:rPr>
          <w:rFonts w:hint="eastAsia" w:ascii="方正小标宋简体" w:eastAsia="方正小标宋简体" w:hAnsiTheme="minorEastAsia"/>
          <w:sz w:val="44"/>
          <w:szCs w:val="44"/>
        </w:rPr>
        <w:t> </w:t>
      </w:r>
    </w:p>
    <w:p>
      <w:pPr>
        <w:spacing w:line="520" w:lineRule="exact"/>
        <w:jc w:val="center"/>
        <w:rPr>
          <w:rFonts w:ascii="楷体_GB2312" w:eastAsia="楷体_GB2312" w:hAnsiTheme="minorEastAsia"/>
          <w:sz w:val="32"/>
          <w:szCs w:val="32"/>
        </w:rPr>
      </w:pPr>
      <w:r>
        <w:rPr>
          <w:rFonts w:hint="eastAsia" w:ascii="楷体_GB2312" w:eastAsia="楷体_GB2312" w:hAnsiTheme="minorEastAsia"/>
          <w:sz w:val="32"/>
          <w:szCs w:val="32"/>
        </w:rPr>
        <w:t>肥政</w:t>
      </w:r>
      <w:r>
        <w:rPr>
          <w:rFonts w:hint="eastAsia" w:ascii="楷体_GB2312" w:eastAsia="楷体_GB2312" w:hAnsiTheme="minorEastAsia"/>
          <w:sz w:val="32"/>
          <w:szCs w:val="32"/>
          <w:lang w:val="en-US" w:eastAsia="zh-CN"/>
        </w:rPr>
        <w:t>发</w:t>
      </w:r>
      <w:r>
        <w:rPr>
          <w:rFonts w:hint="eastAsia" w:ascii="楷体_GB2312" w:eastAsia="楷体_GB2312" w:hAnsiTheme="minorEastAsia"/>
          <w:sz w:val="32"/>
          <w:szCs w:val="32"/>
        </w:rPr>
        <w:t>〔20</w:t>
      </w:r>
      <w:r>
        <w:rPr>
          <w:rFonts w:hint="eastAsia" w:ascii="楷体_GB2312" w:eastAsia="楷体_GB2312" w:hAnsiTheme="minorEastAsia"/>
          <w:sz w:val="32"/>
          <w:szCs w:val="32"/>
          <w:lang w:val="en-US" w:eastAsia="zh-CN"/>
        </w:rPr>
        <w:t>20</w:t>
      </w:r>
      <w:r>
        <w:rPr>
          <w:rFonts w:hint="eastAsia" w:ascii="楷体_GB2312" w:eastAsia="楷体_GB2312" w:hAnsiTheme="minorEastAsia"/>
          <w:sz w:val="32"/>
          <w:szCs w:val="32"/>
        </w:rPr>
        <w:t>〕2号</w:t>
      </w: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各镇人民政府、街道办事处，高新区、经开区，市政府各部门、各直属机构，市属以上驻肥各单位：</w:t>
      </w: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现将《肥城市城市基础设施配套费征收使用管理办法》印发给你们，请认真贯彻执行。</w:t>
      </w: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p>
    <w:p>
      <w:pPr>
        <w:widowControl/>
        <w:shd w:val="clear" w:color="auto" w:fill="FFFFFF"/>
        <w:spacing w:line="332" w:lineRule="atLeast"/>
        <w:ind w:firstLine="640" w:firstLineChars="200"/>
        <w:jc w:val="right"/>
        <w:rPr>
          <w:rFonts w:hint="eastAsia" w:ascii="仿宋_GB2312" w:eastAsia="仿宋_GB2312" w:hAnsiTheme="minorEastAsia"/>
          <w:sz w:val="32"/>
          <w:szCs w:val="32"/>
        </w:rPr>
      </w:pPr>
      <w:r>
        <w:rPr>
          <w:rFonts w:hint="eastAsia" w:ascii="仿宋_GB2312" w:eastAsia="仿宋_GB2312" w:hAnsiTheme="minorEastAsia"/>
          <w:sz w:val="32"/>
          <w:szCs w:val="32"/>
        </w:rPr>
        <w:t>　肥城市人民政府</w:t>
      </w:r>
    </w:p>
    <w:p>
      <w:pPr>
        <w:widowControl/>
        <w:shd w:val="clear" w:color="auto" w:fill="FFFFFF"/>
        <w:spacing w:line="332" w:lineRule="atLeast"/>
        <w:ind w:firstLine="640" w:firstLineChars="200"/>
        <w:jc w:val="right"/>
        <w:rPr>
          <w:rFonts w:hint="eastAsia" w:ascii="仿宋_GB2312" w:eastAsia="仿宋_GB2312" w:hAnsiTheme="minorEastAsia"/>
          <w:sz w:val="32"/>
          <w:szCs w:val="32"/>
        </w:rPr>
      </w:pPr>
      <w:r>
        <w:rPr>
          <w:rFonts w:hint="eastAsia" w:ascii="仿宋_GB2312" w:eastAsia="仿宋_GB2312" w:hAnsiTheme="minorEastAsia"/>
          <w:sz w:val="32"/>
          <w:szCs w:val="32"/>
        </w:rPr>
        <w:t>2020年4月14日</w:t>
      </w:r>
    </w:p>
    <w:p>
      <w:pPr>
        <w:widowControl/>
        <w:shd w:val="clear" w:color="auto" w:fill="FFFFFF"/>
        <w:spacing w:line="332" w:lineRule="atLeast"/>
        <w:ind w:firstLine="640" w:firstLineChars="200"/>
        <w:jc w:val="right"/>
        <w:rPr>
          <w:rFonts w:hint="eastAsia" w:ascii="仿宋_GB2312" w:eastAsia="仿宋_GB2312" w:hAnsiTheme="minorEastAsia"/>
          <w:sz w:val="32"/>
          <w:szCs w:val="32"/>
        </w:rPr>
      </w:pPr>
      <w:r>
        <w:rPr>
          <w:rFonts w:hint="eastAsia" w:ascii="仿宋_GB2312" w:eastAsia="仿宋_GB2312" w:hAnsiTheme="minorEastAsia"/>
          <w:sz w:val="32"/>
          <w:szCs w:val="32"/>
        </w:rPr>
        <w:t>（此件公开发布）</w:t>
      </w: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肥城市城市基础设施配套费征收使用管理办法</w:t>
      </w: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p>
    <w:p>
      <w:pPr>
        <w:widowControl/>
        <w:shd w:val="clear" w:color="auto" w:fill="FFFFFF"/>
        <w:spacing w:line="332" w:lineRule="atLeast"/>
        <w:ind w:firstLine="643" w:firstLineChars="200"/>
        <w:jc w:val="left"/>
        <w:rPr>
          <w:rFonts w:hint="eastAsia" w:ascii="仿宋_GB2312" w:eastAsia="仿宋_GB2312" w:hAnsiTheme="minorEastAsia"/>
          <w:sz w:val="32"/>
          <w:szCs w:val="32"/>
        </w:rPr>
      </w:pPr>
      <w:r>
        <w:rPr>
          <w:rFonts w:hint="eastAsia" w:ascii="仿宋_GB2312" w:eastAsia="仿宋_GB2312" w:hAnsiTheme="minorEastAsia"/>
          <w:b/>
          <w:bCs/>
          <w:sz w:val="32"/>
          <w:szCs w:val="32"/>
        </w:rPr>
        <w:t>第一条</w:t>
      </w:r>
      <w:r>
        <w:rPr>
          <w:rFonts w:hint="eastAsia" w:ascii="仿宋_GB2312" w:eastAsia="仿宋_GB2312" w:hAnsiTheme="minorEastAsia"/>
          <w:sz w:val="32"/>
          <w:szCs w:val="32"/>
        </w:rPr>
        <w:t>为规范城市基础设施配套费的征收、使用和管理，加快城市基础设施建设，完善城市功能，改善营商环境，根据国家、省和泰安市有关规定，结合我市实际，制定本办法。</w:t>
      </w:r>
    </w:p>
    <w:p>
      <w:pPr>
        <w:widowControl/>
        <w:shd w:val="clear" w:color="auto" w:fill="FFFFFF"/>
        <w:spacing w:line="332" w:lineRule="atLeast"/>
        <w:ind w:firstLine="643" w:firstLineChars="200"/>
        <w:jc w:val="left"/>
        <w:rPr>
          <w:rFonts w:hint="eastAsia" w:ascii="仿宋_GB2312" w:eastAsia="仿宋_GB2312" w:hAnsiTheme="minorEastAsia"/>
          <w:sz w:val="32"/>
          <w:szCs w:val="32"/>
        </w:rPr>
      </w:pPr>
      <w:r>
        <w:rPr>
          <w:rFonts w:hint="eastAsia" w:ascii="仿宋_GB2312" w:eastAsia="仿宋_GB2312" w:hAnsiTheme="minorEastAsia"/>
          <w:b/>
          <w:bCs/>
          <w:sz w:val="32"/>
          <w:szCs w:val="32"/>
        </w:rPr>
        <w:t>第二条</w:t>
      </w:r>
      <w:r>
        <w:rPr>
          <w:rFonts w:hint="eastAsia" w:ascii="仿宋_GB2312" w:eastAsia="仿宋_GB2312" w:hAnsiTheme="minorEastAsia"/>
          <w:sz w:val="32"/>
          <w:szCs w:val="32"/>
        </w:rPr>
        <w:t>凡在肥城市城市和小城镇规划区范围内新建、改建、扩建的建设项目，均应按本办法规定缴纳城市基础设施配套费。</w:t>
      </w: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城市市政公用设施建设，不缴纳城市基础设施配套费。</w:t>
      </w:r>
    </w:p>
    <w:p>
      <w:pPr>
        <w:widowControl/>
        <w:shd w:val="clear" w:color="auto" w:fill="FFFFFF"/>
        <w:spacing w:line="332" w:lineRule="atLeast"/>
        <w:ind w:firstLine="643" w:firstLineChars="200"/>
        <w:jc w:val="left"/>
        <w:rPr>
          <w:rFonts w:hint="eastAsia" w:ascii="仿宋_GB2312" w:eastAsia="仿宋_GB2312" w:hAnsiTheme="minorEastAsia"/>
          <w:sz w:val="32"/>
          <w:szCs w:val="32"/>
        </w:rPr>
      </w:pPr>
      <w:r>
        <w:rPr>
          <w:rFonts w:hint="eastAsia" w:ascii="仿宋_GB2312" w:eastAsia="仿宋_GB2312" w:hAnsiTheme="minorEastAsia"/>
          <w:b/>
          <w:bCs/>
          <w:sz w:val="32"/>
          <w:szCs w:val="32"/>
        </w:rPr>
        <w:t>第三条</w:t>
      </w:r>
      <w:r>
        <w:rPr>
          <w:rFonts w:hint="eastAsia" w:ascii="仿宋_GB2312" w:eastAsia="仿宋_GB2312" w:hAnsiTheme="minorEastAsia"/>
          <w:sz w:val="32"/>
          <w:szCs w:val="32"/>
        </w:rPr>
        <w:t>城市基础设施配套费属于政府性基金，由市行政审批服务部门负责征收。市财政、住建、审计、自然资源和规划等部门，按照各自职责做好城市基础设施配套费征收使用监督管理相关工作。</w:t>
      </w:r>
    </w:p>
    <w:p>
      <w:pPr>
        <w:widowControl/>
        <w:shd w:val="clear" w:color="auto" w:fill="FFFFFF"/>
        <w:spacing w:line="332" w:lineRule="atLeast"/>
        <w:ind w:firstLine="643" w:firstLineChars="200"/>
        <w:jc w:val="left"/>
        <w:rPr>
          <w:rFonts w:hint="eastAsia" w:ascii="仿宋_GB2312" w:eastAsia="仿宋_GB2312" w:hAnsiTheme="minorEastAsia"/>
          <w:sz w:val="32"/>
          <w:szCs w:val="32"/>
        </w:rPr>
      </w:pPr>
      <w:r>
        <w:rPr>
          <w:rFonts w:hint="eastAsia" w:ascii="仿宋_GB2312" w:eastAsia="仿宋_GB2312" w:hAnsiTheme="minorEastAsia"/>
          <w:b/>
          <w:bCs/>
          <w:sz w:val="32"/>
          <w:szCs w:val="32"/>
        </w:rPr>
        <w:t>第四条</w:t>
      </w:r>
      <w:r>
        <w:rPr>
          <w:rFonts w:hint="eastAsia" w:ascii="仿宋_GB2312" w:eastAsia="仿宋_GB2312" w:hAnsiTheme="minorEastAsia"/>
          <w:sz w:val="32"/>
          <w:szCs w:val="32"/>
        </w:rPr>
        <w:t>城市基础设施配套费包括综合配套费和专项配套费两部分。具体征收标准按照财政部门批复的标准执行。</w:t>
      </w:r>
    </w:p>
    <w:p>
      <w:pPr>
        <w:widowControl/>
        <w:shd w:val="clear" w:color="auto" w:fill="FFFFFF"/>
        <w:spacing w:line="332" w:lineRule="atLeast"/>
        <w:ind w:firstLine="643" w:firstLineChars="200"/>
        <w:jc w:val="left"/>
        <w:rPr>
          <w:rFonts w:hint="eastAsia" w:ascii="仿宋_GB2312" w:eastAsia="仿宋_GB2312" w:hAnsiTheme="minorEastAsia"/>
          <w:sz w:val="32"/>
          <w:szCs w:val="32"/>
        </w:rPr>
      </w:pPr>
      <w:r>
        <w:rPr>
          <w:rFonts w:hint="eastAsia" w:ascii="仿宋_GB2312" w:eastAsia="仿宋_GB2312" w:hAnsiTheme="minorEastAsia"/>
          <w:b/>
          <w:bCs/>
          <w:sz w:val="32"/>
          <w:szCs w:val="32"/>
        </w:rPr>
        <w:t>第五条</w:t>
      </w:r>
      <w:r>
        <w:rPr>
          <w:rFonts w:hint="eastAsia" w:ascii="仿宋_GB2312" w:eastAsia="仿宋_GB2312" w:hAnsiTheme="minorEastAsia"/>
          <w:sz w:val="32"/>
          <w:szCs w:val="32"/>
        </w:rPr>
        <w:t>建设单位或个人应在领取建筑工程施工许可证前缴纳综合配套费。</w:t>
      </w: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以出让方式取得用地的工业项目，可在办理竣工验收备案之前缴纳综合配套费。未办理施工许可和竣工验收备案，通过第三方质量鉴定方式办理房屋不动产登记的，应当补缴综合配套费。</w:t>
      </w: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建设项目实际建成面积超过规划许可面积的，经依法处理后，对予以保留的超建部分，应当补缴城市基础设施配套费。</w:t>
      </w: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在原址上不改变使用性质的建设项目，且能提供原房屋建筑面积缴费依据的，按现行标准征收新增建筑面积的城市基础设施配套费。</w:t>
      </w:r>
    </w:p>
    <w:p>
      <w:pPr>
        <w:widowControl/>
        <w:shd w:val="clear" w:color="auto" w:fill="FFFFFF"/>
        <w:spacing w:line="332" w:lineRule="atLeast"/>
        <w:ind w:firstLine="643" w:firstLineChars="200"/>
        <w:jc w:val="left"/>
        <w:rPr>
          <w:rFonts w:hint="eastAsia" w:ascii="仿宋_GB2312" w:eastAsia="仿宋_GB2312" w:hAnsiTheme="minorEastAsia"/>
          <w:sz w:val="32"/>
          <w:szCs w:val="32"/>
        </w:rPr>
      </w:pPr>
      <w:r>
        <w:rPr>
          <w:rFonts w:hint="eastAsia" w:ascii="仿宋_GB2312" w:eastAsia="仿宋_GB2312" w:hAnsiTheme="minorEastAsia"/>
          <w:b/>
          <w:bCs/>
          <w:sz w:val="32"/>
          <w:szCs w:val="32"/>
        </w:rPr>
        <w:t>第六条</w:t>
      </w:r>
      <w:r>
        <w:rPr>
          <w:rFonts w:hint="eastAsia" w:ascii="仿宋_GB2312" w:eastAsia="仿宋_GB2312" w:hAnsiTheme="minorEastAsia"/>
          <w:sz w:val="32"/>
          <w:szCs w:val="32"/>
        </w:rPr>
        <w:t>建设单位或个人使用城市自来水、管道天然气、集中供热的，应在领取施工许可证前，与供水、燃气、供热经营单位签订专项配套工程服务协议，在办理报装时缴纳专项配套费。未足额缴纳专项配套费的，有关经营单位不得为其建设管网和相关设施，市行政审批服务部门不得为其办理商品房预售许可、竣工验收备案等手续。</w:t>
      </w: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建设项目涉及储藏室、车库、阁楼等不使用水、气、暖的部分，其建筑面积不再缴纳相应的专项配套费，配套消防管道设施的应按相应建筑面积缴纳供水专项配套费。</w:t>
      </w:r>
    </w:p>
    <w:p>
      <w:pPr>
        <w:widowControl/>
        <w:shd w:val="clear" w:color="auto" w:fill="FFFFFF"/>
        <w:spacing w:line="332" w:lineRule="atLeast"/>
        <w:ind w:firstLine="643" w:firstLineChars="200"/>
        <w:jc w:val="left"/>
        <w:rPr>
          <w:rFonts w:hint="eastAsia" w:ascii="仿宋_GB2312" w:eastAsia="仿宋_GB2312" w:hAnsiTheme="minorEastAsia"/>
          <w:sz w:val="32"/>
          <w:szCs w:val="32"/>
        </w:rPr>
      </w:pPr>
      <w:r>
        <w:rPr>
          <w:rFonts w:hint="eastAsia" w:ascii="仿宋_GB2312" w:eastAsia="仿宋_GB2312" w:hAnsiTheme="minorEastAsia"/>
          <w:b/>
          <w:bCs/>
          <w:sz w:val="32"/>
          <w:szCs w:val="32"/>
        </w:rPr>
        <w:t>第七条</w:t>
      </w:r>
      <w:r>
        <w:rPr>
          <w:rFonts w:hint="eastAsia" w:ascii="仿宋_GB2312" w:eastAsia="仿宋_GB2312" w:hAnsiTheme="minorEastAsia"/>
          <w:sz w:val="32"/>
          <w:szCs w:val="32"/>
        </w:rPr>
        <w:t>建设项目缴纳城市基础设施配套费后，有关部门、单位应当做好基础设施配套建设。</w:t>
      </w: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供水经营单位负责由水厂至单位用户阀门井、居民用户户外水表，中高层和高层（七层及以上）建筑二次供水设备和楼内竖管设施的配套建设项目。燃气经营单位负责由气源至单位用户阀门井、居民用户灶前阀的配套建设项目。供热经营单位负责由热源至单位用户阀门井、居民用户楼前阀门井的配套建设项目；实行分户计量收费的，配套建设至分户计量装置或入户端口。</w:t>
      </w: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建设单位负责相关管沟、设备用房等土建工程的配套建设，协助完成基础设施配套建设，协调建设过程中的相应事务。</w:t>
      </w:r>
    </w:p>
    <w:p>
      <w:pPr>
        <w:widowControl/>
        <w:shd w:val="clear" w:color="auto" w:fill="FFFFFF"/>
        <w:spacing w:line="332" w:lineRule="atLeast"/>
        <w:ind w:firstLine="643" w:firstLineChars="200"/>
        <w:jc w:val="left"/>
        <w:rPr>
          <w:rFonts w:hint="eastAsia" w:ascii="仿宋_GB2312" w:eastAsia="仿宋_GB2312" w:hAnsiTheme="minorEastAsia"/>
          <w:sz w:val="32"/>
          <w:szCs w:val="32"/>
        </w:rPr>
      </w:pPr>
      <w:r>
        <w:rPr>
          <w:rFonts w:hint="eastAsia" w:ascii="仿宋_GB2312" w:eastAsia="仿宋_GB2312" w:hAnsiTheme="minorEastAsia"/>
          <w:b/>
          <w:bCs/>
          <w:sz w:val="32"/>
          <w:szCs w:val="32"/>
        </w:rPr>
        <w:t>第八条</w:t>
      </w:r>
      <w:r>
        <w:rPr>
          <w:rFonts w:hint="eastAsia" w:ascii="仿宋_GB2312" w:eastAsia="仿宋_GB2312" w:hAnsiTheme="minorEastAsia"/>
          <w:sz w:val="32"/>
          <w:szCs w:val="32"/>
        </w:rPr>
        <w:t>供水、燃气、供热经营单位应在市政务服务大厅设立窗口，提供水、气、暖报装一站式服务。市行政审批服务部门应加强对经营单位窗口的日常监督管理。</w:t>
      </w: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建设单位缴纳专项配套费后，供水、燃气、供热经营单位不得再以城市基础设施配套费名义收取其他费用；房地产开发企业在商品房销售中，不得再以任何名义和方式向购房者收取专项配套费。</w:t>
      </w:r>
    </w:p>
    <w:p>
      <w:pPr>
        <w:widowControl/>
        <w:shd w:val="clear" w:color="auto" w:fill="FFFFFF"/>
        <w:spacing w:line="332" w:lineRule="atLeast"/>
        <w:ind w:firstLine="643" w:firstLineChars="200"/>
        <w:jc w:val="left"/>
        <w:rPr>
          <w:rFonts w:hint="eastAsia" w:ascii="仿宋_GB2312" w:eastAsia="仿宋_GB2312" w:hAnsiTheme="minorEastAsia"/>
          <w:sz w:val="32"/>
          <w:szCs w:val="32"/>
        </w:rPr>
      </w:pPr>
      <w:r>
        <w:rPr>
          <w:rFonts w:hint="eastAsia" w:ascii="仿宋_GB2312" w:eastAsia="仿宋_GB2312" w:hAnsiTheme="minorEastAsia"/>
          <w:b/>
          <w:bCs/>
          <w:sz w:val="32"/>
          <w:szCs w:val="32"/>
        </w:rPr>
        <w:t>第九条</w:t>
      </w:r>
      <w:r>
        <w:rPr>
          <w:rFonts w:hint="eastAsia" w:ascii="仿宋_GB2312" w:eastAsia="仿宋_GB2312" w:hAnsiTheme="minorEastAsia"/>
          <w:sz w:val="32"/>
          <w:szCs w:val="32"/>
        </w:rPr>
        <w:t>综合配套费减免应严格执行法律、法规和相关政策规定。下列符合条件的建设项目可享受减免政策：</w:t>
      </w: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（一）经批准建设的棚户区改造、村居改造项目，按照协议交付村（居）集体组织及其成员的社区公共服务用房、安置住房（含所属储藏室和地下车位）。</w:t>
      </w: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在经批准的棚户区改造、村居改造项目总体规划内，配建归村（居）集体组织所有的商业经营用房，在本村（居）现有户籍人口人均15平方米以内的面积，免征综合配套费。</w:t>
      </w: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（二）廉租住房、公共租赁住房、经济适用房等保障性住房项目、旧住宅区整治项目。</w:t>
      </w: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（三）人民防空建设项目、军队后勤保障社会化改造项目。</w:t>
      </w: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（四）用于提供社区养老、托育、家政服务的建设项目。</w:t>
      </w: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（五）中小学（含幼儿园）校舍建设项目。</w:t>
      </w: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（六）工业用地建设多层厂房，第二层减半征收、第三层及以上的给予免征。</w:t>
      </w: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（七）其他符合减免综合配套费政策规定的建设项目。</w:t>
      </w: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减免综合配套费的建设项目，改变原批准用途的，应按规定补缴已减免的费用。</w:t>
      </w:r>
    </w:p>
    <w:p>
      <w:pPr>
        <w:widowControl/>
        <w:shd w:val="clear" w:color="auto" w:fill="FFFFFF"/>
        <w:spacing w:line="332" w:lineRule="atLeast"/>
        <w:ind w:firstLine="643" w:firstLineChars="200"/>
        <w:jc w:val="left"/>
        <w:rPr>
          <w:rFonts w:hint="eastAsia" w:ascii="仿宋_GB2312" w:eastAsia="仿宋_GB2312" w:hAnsiTheme="minorEastAsia"/>
          <w:sz w:val="32"/>
          <w:szCs w:val="32"/>
        </w:rPr>
      </w:pPr>
      <w:r>
        <w:rPr>
          <w:rFonts w:hint="eastAsia" w:ascii="仿宋_GB2312" w:eastAsia="仿宋_GB2312" w:hAnsiTheme="minorEastAsia"/>
          <w:b/>
          <w:bCs/>
          <w:sz w:val="32"/>
          <w:szCs w:val="32"/>
        </w:rPr>
        <w:t>第十条</w:t>
      </w:r>
      <w:r>
        <w:rPr>
          <w:rFonts w:hint="eastAsia" w:ascii="仿宋_GB2312" w:eastAsia="仿宋_GB2312" w:hAnsiTheme="minorEastAsia"/>
          <w:sz w:val="32"/>
          <w:szCs w:val="32"/>
        </w:rPr>
        <w:t>供水、燃气、供热专项配套费原则上不得免征，社会公益事业项目等上级有明确政策要求的按照有关规定执行。</w:t>
      </w:r>
    </w:p>
    <w:p>
      <w:pPr>
        <w:widowControl/>
        <w:shd w:val="clear" w:color="auto" w:fill="FFFFFF"/>
        <w:spacing w:line="332" w:lineRule="atLeast"/>
        <w:ind w:firstLine="643" w:firstLineChars="200"/>
        <w:jc w:val="left"/>
        <w:rPr>
          <w:rFonts w:hint="eastAsia" w:ascii="仿宋_GB2312" w:eastAsia="仿宋_GB2312" w:hAnsiTheme="minorEastAsia"/>
          <w:sz w:val="32"/>
          <w:szCs w:val="32"/>
        </w:rPr>
      </w:pPr>
      <w:r>
        <w:rPr>
          <w:rFonts w:hint="eastAsia" w:ascii="仿宋_GB2312" w:eastAsia="仿宋_GB2312" w:hAnsiTheme="minorEastAsia"/>
          <w:b/>
          <w:bCs/>
          <w:sz w:val="32"/>
          <w:szCs w:val="32"/>
        </w:rPr>
        <w:t>第十一条</w:t>
      </w:r>
      <w:r>
        <w:rPr>
          <w:rFonts w:hint="eastAsia" w:ascii="仿宋_GB2312" w:eastAsia="仿宋_GB2312" w:hAnsiTheme="minorEastAsia"/>
          <w:sz w:val="32"/>
          <w:szCs w:val="32"/>
        </w:rPr>
        <w:t>城市基础设施配套费实行国库集中收缴制度，严格执行“收支两条线”和“票款分离”规定，及时、足额缴入国库，不得截留、坐支和挪作他用。</w:t>
      </w: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供水、燃气、供热经营单位不得自行收取专项配套费。</w:t>
      </w:r>
    </w:p>
    <w:p>
      <w:pPr>
        <w:widowControl/>
        <w:shd w:val="clear" w:color="auto" w:fill="FFFFFF"/>
        <w:spacing w:line="332" w:lineRule="atLeast"/>
        <w:ind w:firstLine="643" w:firstLineChars="200"/>
        <w:jc w:val="left"/>
        <w:rPr>
          <w:rFonts w:hint="eastAsia" w:ascii="仿宋_GB2312" w:eastAsia="仿宋_GB2312" w:hAnsiTheme="minorEastAsia"/>
          <w:sz w:val="32"/>
          <w:szCs w:val="32"/>
        </w:rPr>
      </w:pPr>
      <w:r>
        <w:rPr>
          <w:rFonts w:hint="eastAsia" w:ascii="仿宋_GB2312" w:eastAsia="仿宋_GB2312" w:hAnsiTheme="minorEastAsia"/>
          <w:b/>
          <w:bCs/>
          <w:sz w:val="32"/>
          <w:szCs w:val="32"/>
        </w:rPr>
        <w:t>第十二条</w:t>
      </w:r>
      <w:r>
        <w:rPr>
          <w:rFonts w:hint="eastAsia" w:ascii="仿宋_GB2312" w:eastAsia="仿宋_GB2312" w:hAnsiTheme="minorEastAsia"/>
          <w:sz w:val="32"/>
          <w:szCs w:val="32"/>
        </w:rPr>
        <w:t>城市基础设施配套费收支纳入财政预算管理，按照规定用途安排支出，实行分项管理、专款专用。</w:t>
      </w: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市住建部门负责编制年度支出预算，按照法定程序批准后，市财政部门依据征收缴库进度和使用计划，实行国库集中支付。</w:t>
      </w: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高新区管理范围内的城市基础设施综合配套费，用于高新区管理范围内的城市基础设施的建设、改造与维护管理。</w:t>
      </w: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小城镇基础设施综合配套费，按规定比例用于小城镇规划区范围内的道路、路灯、环卫、污水处理等基础设施的建设、改造与维护管理。</w:t>
      </w: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供水、燃气、供热专项配套费，由相关经营单位编制使用计划，经市住建部门批准后拨付。</w:t>
      </w:r>
    </w:p>
    <w:p>
      <w:pPr>
        <w:widowControl/>
        <w:shd w:val="clear" w:color="auto" w:fill="FFFFFF"/>
        <w:spacing w:line="332" w:lineRule="atLeast"/>
        <w:ind w:firstLine="643" w:firstLineChars="200"/>
        <w:jc w:val="left"/>
        <w:rPr>
          <w:rFonts w:hint="eastAsia" w:ascii="仿宋_GB2312" w:eastAsia="仿宋_GB2312" w:hAnsiTheme="minorEastAsia"/>
          <w:sz w:val="32"/>
          <w:szCs w:val="32"/>
        </w:rPr>
      </w:pPr>
      <w:r>
        <w:rPr>
          <w:rFonts w:hint="eastAsia" w:ascii="仿宋_GB2312" w:eastAsia="仿宋_GB2312" w:hAnsiTheme="minorEastAsia"/>
          <w:b/>
          <w:bCs/>
          <w:sz w:val="32"/>
          <w:szCs w:val="32"/>
        </w:rPr>
        <w:t>第十三条</w:t>
      </w:r>
      <w:r>
        <w:rPr>
          <w:rFonts w:hint="eastAsia" w:ascii="仿宋_GB2312" w:eastAsia="仿宋_GB2312" w:hAnsiTheme="minorEastAsia"/>
          <w:sz w:val="32"/>
          <w:szCs w:val="32"/>
        </w:rPr>
        <w:t>城市基础设施配套费征收和使用单位，应当建立健全相关内部财务审计制度，自觉接受市财政、审计部门的监督检查，如实提供相关收支情况和资料。</w:t>
      </w: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城市基础设施配套费征收、减免、使用情况应作为政务公开信息，按规定予以公开，接受社会监督。</w:t>
      </w:r>
    </w:p>
    <w:p>
      <w:pPr>
        <w:widowControl/>
        <w:shd w:val="clear" w:color="auto" w:fill="FFFFFF"/>
        <w:spacing w:line="332" w:lineRule="atLeast"/>
        <w:ind w:firstLine="643" w:firstLineChars="200"/>
        <w:jc w:val="left"/>
        <w:rPr>
          <w:rFonts w:hint="eastAsia" w:ascii="仿宋_GB2312" w:eastAsia="仿宋_GB2312" w:hAnsiTheme="minorEastAsia"/>
          <w:sz w:val="32"/>
          <w:szCs w:val="32"/>
        </w:rPr>
      </w:pPr>
      <w:r>
        <w:rPr>
          <w:rFonts w:hint="eastAsia" w:ascii="仿宋_GB2312" w:eastAsia="仿宋_GB2312" w:hAnsiTheme="minorEastAsia"/>
          <w:b/>
          <w:bCs/>
          <w:sz w:val="32"/>
          <w:szCs w:val="32"/>
        </w:rPr>
        <w:t>第十四条</w:t>
      </w:r>
      <w:r>
        <w:rPr>
          <w:rFonts w:hint="eastAsia" w:ascii="仿宋_GB2312" w:eastAsia="仿宋_GB2312" w:hAnsiTheme="minorEastAsia"/>
          <w:sz w:val="32"/>
          <w:szCs w:val="32"/>
        </w:rPr>
        <w:t>本办法所称城市市政公用设施是指城市道路、桥涵、排水、防洪、道路照明、管道自来水、集中供热、管道燃气、公共客运交通、环境卫生、园林绿化等公共设施。</w:t>
      </w: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城市规划区是指城市规划建设区（主城区），具体范围为西起金槐路—肥梁路，东至城东河—康王河上游河段，北至老泰临路，东南到仪阳街道政府驻地，南至白云山，面积约76.6平方公里。</w:t>
      </w: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社区公共服务用房是指经批准建设的居委会办公用房、幼儿园、小区文化室、卫生服务站、老年人照料中心、警务室、垃圾中转站等公共服务设施。</w:t>
      </w:r>
    </w:p>
    <w:p>
      <w:pPr>
        <w:widowControl/>
        <w:shd w:val="clear" w:color="auto" w:fill="FFFFFF"/>
        <w:spacing w:line="332" w:lineRule="atLeast"/>
        <w:ind w:firstLine="643" w:firstLineChars="200"/>
        <w:jc w:val="left"/>
        <w:rPr>
          <w:rFonts w:hint="eastAsia" w:ascii="仿宋_GB2312" w:eastAsia="仿宋_GB2312" w:hAnsiTheme="minorEastAsia"/>
          <w:sz w:val="32"/>
          <w:szCs w:val="32"/>
        </w:rPr>
      </w:pPr>
      <w:r>
        <w:rPr>
          <w:rFonts w:hint="eastAsia" w:ascii="仿宋_GB2312" w:eastAsia="仿宋_GB2312" w:hAnsiTheme="minorEastAsia"/>
          <w:b/>
          <w:bCs/>
          <w:sz w:val="32"/>
          <w:szCs w:val="32"/>
        </w:rPr>
        <w:t>第十五条</w:t>
      </w:r>
      <w:r>
        <w:rPr>
          <w:rFonts w:hint="eastAsia" w:ascii="仿宋_GB2312" w:eastAsia="仿宋_GB2312" w:hAnsiTheme="minorEastAsia"/>
          <w:sz w:val="32"/>
          <w:szCs w:val="32"/>
        </w:rPr>
        <w:t>本办法自2020年4月15日起施行，有效期至2025年4月14日。《肥城市人民政府关于印发肥城市城市基础设施配套费征收使用管理办法的通知》（肥政发〔2008〕28号）同时废止。</w:t>
      </w: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r>
        <w:rPr>
          <w:rFonts w:hint="eastAsia" w:ascii="仿宋_GB2312" w:eastAsia="仿宋_GB2312" w:hAnsiTheme="minorEastAsia"/>
          <w:sz w:val="32"/>
          <w:szCs w:val="32"/>
        </w:rPr>
        <w:t>抄送：市委，市纪委，市人大，市政协，市人武部，市法院，市检察院。</w:t>
      </w:r>
    </w:p>
    <w:p>
      <w:pPr>
        <w:widowControl/>
        <w:shd w:val="clear" w:color="auto" w:fill="FFFFFF"/>
        <w:spacing w:line="332" w:lineRule="atLeast"/>
        <w:ind w:firstLine="640" w:firstLineChars="200"/>
        <w:jc w:val="left"/>
        <w:rPr>
          <w:rFonts w:hint="eastAsia" w:ascii="仿宋_GB2312" w:eastAsia="仿宋_GB2312" w:hAnsiTheme="minorEastAsia"/>
          <w:sz w:val="32"/>
          <w:szCs w:val="32"/>
        </w:rPr>
      </w:pPr>
    </w:p>
    <w:p>
      <w:pPr>
        <w:widowControl/>
        <w:shd w:val="clear" w:color="auto" w:fill="FFFFFF"/>
        <w:spacing w:line="332" w:lineRule="atLeast"/>
        <w:ind w:firstLine="640" w:firstLineChars="200"/>
        <w:jc w:val="right"/>
        <w:rPr>
          <w:rFonts w:hint="eastAsia" w:ascii="仿宋_GB2312" w:eastAsia="仿宋_GB2312" w:hAnsiTheme="minorEastAsia"/>
          <w:sz w:val="32"/>
          <w:szCs w:val="32"/>
        </w:rPr>
      </w:pPr>
      <w:r>
        <w:rPr>
          <w:rFonts w:hint="eastAsia" w:ascii="仿宋_GB2312" w:eastAsia="仿宋_GB2312" w:hAnsiTheme="minorEastAsia"/>
          <w:sz w:val="32"/>
          <w:szCs w:val="32"/>
        </w:rPr>
        <w:t>肥城市人民政府办公室2020年4月15日印发</w:t>
      </w:r>
    </w:p>
    <w:p>
      <w:pPr>
        <w:widowControl/>
        <w:shd w:val="clear" w:color="auto" w:fill="FFFFFF"/>
        <w:spacing w:line="332" w:lineRule="atLeast"/>
        <w:ind w:firstLine="300" w:firstLineChars="200"/>
        <w:jc w:val="left"/>
        <w:rPr>
          <w:rFonts w:hint="eastAsia" w:ascii="微软雅黑" w:hAnsi="微软雅黑" w:eastAsia="微软雅黑" w:cs="微软雅黑"/>
          <w:b w:val="0"/>
          <w:i w:val="0"/>
          <w:caps w:val="0"/>
          <w:color w:val="333333"/>
          <w:spacing w:val="0"/>
          <w:sz w:val="15"/>
          <w:szCs w:val="15"/>
        </w:rPr>
      </w:pPr>
    </w:p>
    <w:p>
      <w:pPr>
        <w:spacing w:line="520" w:lineRule="exact"/>
        <w:jc w:val="center"/>
        <w:rPr>
          <w:rFonts w:hint="eastAsia" w:ascii="宋体" w:hAnsi="宋体" w:eastAsia="宋体" w:cs="宋体"/>
          <w:sz w:val="44"/>
          <w:szCs w:val="44"/>
        </w:rPr>
      </w:pPr>
      <w:r>
        <w:rPr>
          <w:rFonts w:hint="eastAsia" w:ascii="宋体" w:hAnsi="宋体" w:eastAsia="宋体" w:cs="宋体"/>
          <w:sz w:val="44"/>
          <w:szCs w:val="44"/>
        </w:rPr>
        <w:t>肥城市人民政府</w:t>
      </w:r>
    </w:p>
    <w:p>
      <w:pPr>
        <w:spacing w:line="520" w:lineRule="exact"/>
        <w:jc w:val="center"/>
        <w:rPr>
          <w:rFonts w:hint="eastAsia" w:ascii="宋体" w:hAnsi="宋体" w:eastAsia="宋体" w:cs="宋体"/>
          <w:sz w:val="44"/>
          <w:szCs w:val="44"/>
        </w:rPr>
      </w:pPr>
      <w:r>
        <w:rPr>
          <w:rFonts w:hint="eastAsia" w:ascii="宋体" w:hAnsi="宋体" w:eastAsia="宋体" w:cs="宋体"/>
          <w:sz w:val="44"/>
          <w:szCs w:val="44"/>
        </w:rPr>
        <w:t>关于印发加快实施健康肥城行动全面推进</w:t>
      </w:r>
    </w:p>
    <w:p>
      <w:pPr>
        <w:spacing w:line="520" w:lineRule="exact"/>
        <w:jc w:val="center"/>
        <w:rPr>
          <w:rFonts w:hint="eastAsia" w:ascii="宋体" w:hAnsi="宋体" w:eastAsia="宋体" w:cs="宋体"/>
          <w:sz w:val="44"/>
          <w:szCs w:val="44"/>
        </w:rPr>
      </w:pPr>
      <w:r>
        <w:rPr>
          <w:rFonts w:hint="eastAsia" w:ascii="宋体" w:hAnsi="宋体" w:eastAsia="宋体" w:cs="宋体"/>
          <w:sz w:val="44"/>
          <w:szCs w:val="44"/>
        </w:rPr>
        <w:t>健康肥城建设工作方案的通知</w:t>
      </w:r>
    </w:p>
    <w:p>
      <w:pPr>
        <w:spacing w:line="520" w:lineRule="exact"/>
        <w:jc w:val="center"/>
        <w:rPr>
          <w:rFonts w:ascii="方正小标宋简体" w:eastAsia="方正小标宋简体" w:hAnsiTheme="minorEastAsia"/>
          <w:sz w:val="44"/>
          <w:szCs w:val="44"/>
        </w:rPr>
      </w:pPr>
    </w:p>
    <w:p>
      <w:pPr>
        <w:spacing w:line="520" w:lineRule="exact"/>
        <w:jc w:val="center"/>
        <w:rPr>
          <w:rFonts w:ascii="楷体_GB2312" w:eastAsia="楷体_GB2312" w:hAnsiTheme="minorEastAsia"/>
          <w:sz w:val="32"/>
          <w:szCs w:val="32"/>
        </w:rPr>
      </w:pPr>
      <w:r>
        <w:rPr>
          <w:rFonts w:hint="eastAsia" w:ascii="楷体_GB2312" w:eastAsia="楷体_GB2312" w:hAnsiTheme="minorEastAsia"/>
          <w:sz w:val="32"/>
          <w:szCs w:val="32"/>
        </w:rPr>
        <w:t>肥政发〔20</w:t>
      </w:r>
      <w:r>
        <w:rPr>
          <w:rFonts w:hint="eastAsia" w:ascii="楷体_GB2312" w:eastAsia="楷体_GB2312" w:hAnsiTheme="minorEastAsia"/>
          <w:sz w:val="32"/>
          <w:szCs w:val="32"/>
          <w:lang w:val="en-US" w:eastAsia="zh-CN"/>
        </w:rPr>
        <w:t>20</w:t>
      </w:r>
      <w:r>
        <w:rPr>
          <w:rFonts w:hint="eastAsia" w:ascii="楷体_GB2312" w:eastAsia="楷体_GB2312" w:hAnsiTheme="minorEastAsia"/>
          <w:sz w:val="32"/>
          <w:szCs w:val="32"/>
        </w:rPr>
        <w:t>〕3号</w:t>
      </w:r>
    </w:p>
    <w:p>
      <w:pPr>
        <w:spacing w:line="520" w:lineRule="exact"/>
        <w:jc w:val="center"/>
        <w:rPr>
          <w:rFonts w:ascii="仿宋_GB2312" w:eastAsia="仿宋_GB2312" w:hAnsiTheme="minorEastAsia"/>
          <w:sz w:val="32"/>
          <w:szCs w:val="32"/>
        </w:rPr>
      </w:pPr>
    </w:p>
    <w:p>
      <w:pPr>
        <w:pStyle w:val="7"/>
        <w:shd w:val="clear" w:color="auto" w:fill="FFFFFF"/>
        <w:spacing w:before="0" w:beforeAutospacing="0" w:after="0" w:afterAutospacing="0" w:line="332" w:lineRule="atLeast"/>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各镇人民政府、街道办事处，高新区，经开区，市政府各部门，各直属机构，市属以上驻肥各单位: </w:t>
      </w:r>
    </w:p>
    <w:p>
      <w:pPr>
        <w:pStyle w:val="7"/>
        <w:shd w:val="clear" w:color="auto" w:fill="FFFFFF"/>
        <w:spacing w:before="0" w:beforeAutospacing="0" w:after="0" w:afterAutospacing="0" w:line="332" w:lineRule="atLeast"/>
        <w:ind w:firstLine="640" w:firstLineChars="200"/>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现将《加快实施健康肥城行动全面推进健康肥城建设工作方案》印发给你们,请结合工作实际,认真组织实施。</w:t>
      </w:r>
    </w:p>
    <w:p>
      <w:pPr>
        <w:pStyle w:val="7"/>
        <w:shd w:val="clear" w:color="auto" w:fill="FFFFFF"/>
        <w:spacing w:before="0" w:beforeAutospacing="0" w:after="0" w:afterAutospacing="0" w:line="332" w:lineRule="atLeast"/>
        <w:ind w:firstLine="640" w:firstLineChars="200"/>
        <w:rPr>
          <w:rFonts w:hint="eastAsia" w:ascii="仿宋_GB2312" w:hAnsi="仿宋" w:eastAsia="仿宋_GB2312" w:cstheme="minorBidi"/>
          <w:kern w:val="2"/>
          <w:sz w:val="32"/>
          <w:szCs w:val="32"/>
        </w:rPr>
      </w:pPr>
    </w:p>
    <w:p>
      <w:pPr>
        <w:pStyle w:val="7"/>
        <w:shd w:val="clear" w:color="auto" w:fill="FFFFFF"/>
        <w:spacing w:before="0" w:beforeAutospacing="0" w:after="0" w:afterAutospacing="0" w:line="332" w:lineRule="atLeast"/>
        <w:ind w:firstLine="640" w:firstLineChars="200"/>
        <w:jc w:val="right"/>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　肥城市人民政府</w:t>
      </w:r>
    </w:p>
    <w:p>
      <w:pPr>
        <w:pStyle w:val="7"/>
        <w:shd w:val="clear" w:color="auto" w:fill="FFFFFF"/>
        <w:spacing w:before="0" w:beforeAutospacing="0" w:after="0" w:afterAutospacing="0" w:line="332" w:lineRule="atLeast"/>
        <w:ind w:firstLine="640" w:firstLineChars="200"/>
        <w:jc w:val="right"/>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2020年4月22日</w:t>
      </w:r>
    </w:p>
    <w:p>
      <w:pPr>
        <w:pStyle w:val="7"/>
        <w:shd w:val="clear" w:color="auto" w:fill="FFFFFF"/>
        <w:spacing w:before="0" w:beforeAutospacing="0" w:after="0" w:afterAutospacing="0" w:line="332" w:lineRule="atLeast"/>
        <w:ind w:firstLine="640" w:firstLineChars="200"/>
        <w:jc w:val="right"/>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（此件公开发布）</w:t>
      </w:r>
    </w:p>
    <w:p>
      <w:pPr>
        <w:pStyle w:val="7"/>
        <w:shd w:val="clear" w:color="auto" w:fill="FFFFFF"/>
        <w:spacing w:before="0" w:beforeAutospacing="0" w:after="0" w:afterAutospacing="0" w:line="332" w:lineRule="atLeast"/>
        <w:ind w:firstLine="640" w:firstLineChars="200"/>
        <w:rPr>
          <w:rFonts w:hint="eastAsia" w:ascii="仿宋_GB2312" w:hAnsi="仿宋" w:eastAsia="仿宋_GB2312" w:cstheme="minorBidi"/>
          <w:kern w:val="2"/>
          <w:sz w:val="32"/>
          <w:szCs w:val="32"/>
        </w:rPr>
      </w:pPr>
    </w:p>
    <w:p>
      <w:pPr>
        <w:pStyle w:val="7"/>
        <w:shd w:val="clear" w:color="auto" w:fill="FFFFFF"/>
        <w:spacing w:before="0" w:beforeAutospacing="0" w:after="0" w:afterAutospacing="0" w:line="332" w:lineRule="atLeast"/>
        <w:jc w:val="center"/>
        <w:rPr>
          <w:rFonts w:hint="eastAsia" w:ascii="宋体" w:hAnsi="宋体" w:eastAsia="宋体" w:cs="宋体"/>
          <w:kern w:val="2"/>
          <w:sz w:val="36"/>
          <w:szCs w:val="36"/>
        </w:rPr>
      </w:pPr>
      <w:r>
        <w:rPr>
          <w:rFonts w:hint="eastAsia" w:ascii="宋体" w:hAnsi="宋体" w:eastAsia="宋体" w:cs="宋体"/>
          <w:kern w:val="2"/>
          <w:sz w:val="36"/>
          <w:szCs w:val="36"/>
        </w:rPr>
        <w:t>加快实施健康肥城行动全面推进健康肥城建设工作方案</w:t>
      </w:r>
    </w:p>
    <w:p>
      <w:pPr>
        <w:pStyle w:val="7"/>
        <w:shd w:val="clear" w:color="auto" w:fill="FFFFFF"/>
        <w:spacing w:before="0" w:beforeAutospacing="0" w:after="0" w:afterAutospacing="0" w:line="332" w:lineRule="atLeast"/>
        <w:rPr>
          <w:rFonts w:hint="eastAsia" w:ascii="仿宋_GB2312" w:hAnsi="仿宋" w:eastAsia="仿宋_GB2312" w:cstheme="minorBidi"/>
          <w:kern w:val="2"/>
          <w:sz w:val="32"/>
          <w:szCs w:val="32"/>
        </w:rPr>
      </w:pPr>
    </w:p>
    <w:p>
      <w:pPr>
        <w:pStyle w:val="7"/>
        <w:shd w:val="clear" w:color="auto" w:fill="FFFFFF"/>
        <w:spacing w:before="0" w:beforeAutospacing="0" w:after="0" w:afterAutospacing="0" w:line="332" w:lineRule="atLeast"/>
        <w:ind w:firstLine="640" w:firstLineChars="200"/>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为深入开展健康肥城行动,全面推进健康肥城建设,根据《山东省人民政府关于贯彻健康中国行动推进健康山东建设的实施意见》(鲁政发〔2019〕15号)和《泰安市人民政府关于印发实施健康泰安行动加快推进健康泰安建设工作方案的通知》(泰政发〔2020〕4号)精神,结合我市实际,制订本方案。</w:t>
      </w:r>
    </w:p>
    <w:p>
      <w:pPr>
        <w:ind w:firstLine="640" w:firstLineChars="200"/>
        <w:rPr>
          <w:rFonts w:hint="eastAsia" w:ascii="黑体" w:hAnsi="黑体" w:eastAsia="黑体"/>
          <w:sz w:val="32"/>
          <w:szCs w:val="32"/>
        </w:rPr>
      </w:pPr>
      <w:r>
        <w:rPr>
          <w:rFonts w:hint="eastAsia" w:ascii="黑体" w:hAnsi="黑体" w:eastAsia="黑体"/>
          <w:sz w:val="32"/>
          <w:szCs w:val="32"/>
        </w:rPr>
        <w:t>一、工作目标</w:t>
      </w:r>
    </w:p>
    <w:p>
      <w:pPr>
        <w:pStyle w:val="7"/>
        <w:shd w:val="clear" w:color="auto" w:fill="FFFFFF"/>
        <w:spacing w:before="0" w:beforeAutospacing="0" w:after="0" w:afterAutospacing="0" w:line="332" w:lineRule="atLeast"/>
        <w:ind w:firstLine="640" w:firstLineChars="200"/>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力争到2030年，基本普及健康生活方式,人均预期寿命达到81岁左右,婴儿死亡率、5岁以下儿童死亡率、孕产妇死亡率分别下降到4.0‰、4.0‰、7/10 万,主要健康指标达到省市级水平,部分指标达到国家水平,促进全市城乡居民健康素养水平大幅提升,为保障人民健康，建设健康肥城夯实基础。 </w:t>
      </w:r>
    </w:p>
    <w:p>
      <w:pPr>
        <w:pStyle w:val="7"/>
        <w:shd w:val="clear" w:color="auto" w:fill="FFFFFF"/>
        <w:spacing w:before="0" w:beforeAutospacing="0" w:after="0" w:afterAutospacing="0" w:line="332" w:lineRule="atLeast"/>
        <w:ind w:firstLine="640" w:firstLineChars="200"/>
        <w:rPr>
          <w:rFonts w:hint="eastAsia" w:ascii="仿宋_GB2312" w:hAnsi="仿宋" w:eastAsia="仿宋_GB2312" w:cstheme="minorBidi"/>
          <w:kern w:val="2"/>
          <w:sz w:val="32"/>
          <w:szCs w:val="32"/>
        </w:rPr>
      </w:pPr>
      <w:r>
        <w:rPr>
          <w:rFonts w:hint="eastAsia" w:ascii="黑体" w:hAnsi="黑体" w:eastAsia="黑体" w:cstheme="minorBidi"/>
          <w:kern w:val="2"/>
          <w:sz w:val="32"/>
          <w:szCs w:val="32"/>
          <w:lang w:val="en-US" w:eastAsia="zh-CN" w:bidi="ar-SA"/>
        </w:rPr>
        <w:t>二、主要工作任务</w:t>
      </w:r>
    </w:p>
    <w:p>
      <w:pPr>
        <w:pStyle w:val="7"/>
        <w:shd w:val="clear" w:color="auto" w:fill="FFFFFF"/>
        <w:spacing w:before="0" w:beforeAutospacing="0" w:after="0" w:afterAutospacing="0" w:line="332" w:lineRule="atLeast"/>
        <w:ind w:firstLine="643" w:firstLineChars="200"/>
        <w:rPr>
          <w:rFonts w:hint="eastAsia" w:ascii="仿宋_GB2312" w:hAnsi="仿宋" w:eastAsia="仿宋_GB2312" w:cstheme="minorBidi"/>
          <w:kern w:val="2"/>
          <w:sz w:val="32"/>
          <w:szCs w:val="32"/>
        </w:rPr>
      </w:pPr>
      <w:r>
        <w:rPr>
          <w:rFonts w:hint="eastAsia" w:ascii="仿宋_GB2312" w:hAnsi="仿宋" w:eastAsia="仿宋_GB2312" w:cstheme="minorBidi"/>
          <w:b/>
          <w:bCs/>
          <w:kern w:val="2"/>
          <w:sz w:val="32"/>
          <w:szCs w:val="32"/>
        </w:rPr>
        <w:t>1.开展健康知识普及行动。</w:t>
      </w:r>
      <w:r>
        <w:rPr>
          <w:rFonts w:hint="eastAsia" w:ascii="仿宋_GB2312" w:hAnsi="仿宋" w:eastAsia="仿宋_GB2312" w:cstheme="minorBidi"/>
          <w:kern w:val="2"/>
          <w:sz w:val="32"/>
          <w:szCs w:val="32"/>
        </w:rPr>
        <w:t>强化健康教育与促进机制建设,提升全市医疗机构和医务人员服务能力水平。推进健康家庭建设步伐,支持镇街卫生院（社区卫生服务中心）与家庭签约,组建家庭医生团队开展健康管理服务,指导居民学习掌握预防疾病、紧急救援、及时就医、合理用药、应急避险等知识与技能。加强市级中医药文化宣讲团力量,扎实开展中医药文化进农村、进社区活动，大力推广中医养生保健知识和易于掌握的中医养生保健技术和方法。加大媒体宣传力度，支持广播电台、电视台等传统媒体，微信、微博、短视频等新媒体开展健康科普活动，提高群众知晓率。到2022年全市居民健康素养水平不低于22%，到2030年提高到30%以上。(牵头单位:市卫生健康局，责任单位：市委宣传部、市科技局、市教育和体育局、市市场监督管理局、市医疗保障局、市应急管理局、市总工会、市融媒体中心等) </w:t>
      </w:r>
    </w:p>
    <w:p>
      <w:pPr>
        <w:pStyle w:val="7"/>
        <w:shd w:val="clear" w:color="auto" w:fill="FFFFFF"/>
        <w:spacing w:before="0" w:beforeAutospacing="0" w:after="0" w:afterAutospacing="0" w:line="332" w:lineRule="atLeast"/>
        <w:ind w:firstLine="643" w:firstLineChars="200"/>
        <w:rPr>
          <w:rFonts w:hint="eastAsia" w:ascii="仿宋_GB2312" w:hAnsi="仿宋" w:eastAsia="仿宋_GB2312" w:cstheme="minorBidi"/>
          <w:kern w:val="2"/>
          <w:sz w:val="32"/>
          <w:szCs w:val="32"/>
        </w:rPr>
      </w:pPr>
      <w:r>
        <w:rPr>
          <w:rFonts w:hint="eastAsia" w:ascii="仿宋_GB2312" w:hAnsi="仿宋" w:eastAsia="仿宋_GB2312" w:cstheme="minorBidi"/>
          <w:b/>
          <w:bCs/>
          <w:i w:val="0"/>
          <w:iCs w:val="0"/>
          <w:kern w:val="2"/>
          <w:sz w:val="32"/>
          <w:szCs w:val="32"/>
        </w:rPr>
        <w:t>2.实施合理膳食行动</w:t>
      </w:r>
      <w:r>
        <w:rPr>
          <w:rFonts w:hint="eastAsia" w:ascii="仿宋_GB2312" w:hAnsi="仿宋" w:eastAsia="仿宋_GB2312" w:cstheme="minorBidi"/>
          <w:kern w:val="2"/>
          <w:sz w:val="32"/>
          <w:szCs w:val="32"/>
        </w:rPr>
        <w:t>。大力开展“一评二控三减四健”行动,健全对未成年人群，超重的成年人群,贫血、消瘦等营养不良人群,孕产妇和家有婴幼儿的人群和家庭跟踪监测指导，提出针对性指导意见。贯彻落实新的盐、油、糖包装标准,推进食品营养标准体系建设。加强对中小学生、老年人等人群的膳食服务指导,主动将营养干预纳入健康扶贫中心工作。到2022年成人肥胖增长率明显减缓，5岁以下儿童生长迟缓率低于7%，到2030年成人肥胖增长率持续减缓,5岁以下儿童生长迟缓率低于5%。(牵头单位:市卫生健康局,责任单位：市发展和改革局、市教育和体育局、市市场监督管理局、市农业农村局、市工业和信息化局、市妇联等） </w:t>
      </w:r>
    </w:p>
    <w:p>
      <w:pPr>
        <w:pStyle w:val="7"/>
        <w:shd w:val="clear" w:color="auto" w:fill="FFFFFF"/>
        <w:spacing w:before="0" w:beforeAutospacing="0" w:after="0" w:afterAutospacing="0" w:line="332" w:lineRule="atLeast"/>
        <w:ind w:firstLine="643" w:firstLineChars="200"/>
        <w:rPr>
          <w:rFonts w:hint="eastAsia" w:ascii="仿宋_GB2312" w:hAnsi="仿宋" w:eastAsia="仿宋_GB2312" w:cstheme="minorBidi"/>
          <w:kern w:val="2"/>
          <w:sz w:val="32"/>
          <w:szCs w:val="32"/>
        </w:rPr>
      </w:pPr>
      <w:r>
        <w:rPr>
          <w:rFonts w:hint="eastAsia" w:ascii="仿宋_GB2312" w:hAnsi="仿宋" w:eastAsia="仿宋_GB2312" w:cstheme="minorBidi"/>
          <w:b/>
          <w:bCs/>
          <w:kern w:val="2"/>
          <w:sz w:val="32"/>
          <w:szCs w:val="32"/>
        </w:rPr>
        <w:t>3.继续实施全民健身行动。</w:t>
      </w:r>
      <w:r>
        <w:rPr>
          <w:rFonts w:hint="eastAsia" w:ascii="仿宋_GB2312" w:hAnsi="仿宋" w:eastAsia="仿宋_GB2312" w:cstheme="minorBidi"/>
          <w:kern w:val="2"/>
          <w:sz w:val="32"/>
          <w:szCs w:val="32"/>
        </w:rPr>
        <w:t>健全完善全民健身公共服务体系,将公共体育设施建设纳入城乡规划和土地利用规划,统筹建设全民健身场地设施，满足人民群众的服务需求。实施“全民健身技能入户工程”,针对不同人群、不同环境、不同身体状况开展运动健康指导,推动形成“体医结合”的疾病管理和健康服务模式。倡导机关、企事业单位组织开展工间操活动。鼓励个人至少有1项运动爱好或掌握1项传统运动项目,参加至少1个健身组织,每天进行中等强度运动至少半小时。全力打造百姓身边健身组织和“10分钟健身圈”。继续举办桃花节健步走大会、全民健身运动会、环北部山区自行车比赛等各类全民健身赛事,实施群众冬季运动推广普及计划。推动落实公共体育设施免费开放。实施特殊人群体质健康干预计划,把学校学生体质健康状况作为对学校考核评价的重要内容。到2022年城乡居民达到《国民体质测定标准》合格以上的人数比例不少于92%，经常参加体育锻炼人数比例达到37%及以上，到2030年分别提高到95%和40%以上。(牵头单位:市体育事业发展中心,责任单位：市教育和体育局、市财政局、市卫生健康局、市发展和改革局、市住房和城乡建设局、市综合行政执法局、市总工会等） </w:t>
      </w:r>
    </w:p>
    <w:p>
      <w:pPr>
        <w:pStyle w:val="7"/>
        <w:shd w:val="clear" w:color="auto" w:fill="FFFFFF"/>
        <w:spacing w:before="0" w:beforeAutospacing="0" w:after="0" w:afterAutospacing="0" w:line="332" w:lineRule="atLeast"/>
        <w:ind w:firstLine="643" w:firstLineChars="200"/>
        <w:rPr>
          <w:rFonts w:hint="eastAsia" w:ascii="仿宋_GB2312" w:hAnsi="仿宋" w:eastAsia="仿宋_GB2312" w:cstheme="minorBidi"/>
          <w:kern w:val="2"/>
          <w:sz w:val="32"/>
          <w:szCs w:val="32"/>
        </w:rPr>
      </w:pPr>
      <w:r>
        <w:rPr>
          <w:rFonts w:hint="eastAsia" w:ascii="仿宋_GB2312" w:hAnsi="仿宋" w:eastAsia="仿宋_GB2312" w:cstheme="minorBidi"/>
          <w:b/>
          <w:bCs/>
          <w:kern w:val="2"/>
          <w:sz w:val="32"/>
          <w:szCs w:val="32"/>
        </w:rPr>
        <w:t>4.实施控烟行动。</w:t>
      </w:r>
      <w:r>
        <w:rPr>
          <w:rFonts w:hint="eastAsia" w:ascii="仿宋_GB2312" w:hAnsi="仿宋" w:eastAsia="仿宋_GB2312" w:cstheme="minorBidi"/>
          <w:kern w:val="2"/>
          <w:sz w:val="32"/>
          <w:szCs w:val="32"/>
        </w:rPr>
        <w:t>扎实推进控烟履约工作,加大控烟宣传教育力度,提倡无烟文化,实现室内公共场所、工作场所和公共交通工具全面禁烟。开展无烟机关创建活动，发挥机关干部、医务人员和教师控烟示范引领作用。加大吸烟危害健康宣传教育力度，推广简短戒烟干预服务和烟草依赖疾病诊治。加大烟草广告监管力度,严禁在公共场所发布烟草广告,严禁向未成年人销售烟草制品。加强烟草监测评估工作,定期开展烟草流行调查。到2022年实现全面无烟法规保护的人口比例达到30%及以上，2030年达到60%及以上。(牵头单位:市爱卫办，责任单位：市卫生健康局、市直机关工委、市机关事务服务中心、市市场监督管理局、市发展和改革局、市财政局、市教育和体育局、市交通运输局、市妇联、团市委、市烟草专卖局、市融媒体中心等)</w:t>
      </w:r>
    </w:p>
    <w:p>
      <w:pPr>
        <w:pStyle w:val="7"/>
        <w:shd w:val="clear" w:color="auto" w:fill="FFFFFF"/>
        <w:spacing w:before="0" w:beforeAutospacing="0" w:after="0" w:afterAutospacing="0" w:line="332" w:lineRule="atLeast"/>
        <w:ind w:firstLine="640" w:firstLineChars="200"/>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 </w:t>
      </w:r>
      <w:r>
        <w:rPr>
          <w:rFonts w:hint="eastAsia" w:ascii="仿宋_GB2312" w:hAnsi="仿宋" w:eastAsia="仿宋_GB2312" w:cstheme="minorBidi"/>
          <w:b/>
          <w:bCs/>
          <w:kern w:val="2"/>
          <w:sz w:val="32"/>
          <w:szCs w:val="32"/>
        </w:rPr>
        <w:t> 5.实施心理健康促进行动。</w:t>
      </w:r>
      <w:r>
        <w:rPr>
          <w:rFonts w:hint="eastAsia" w:ascii="仿宋_GB2312" w:hAnsi="仿宋" w:eastAsia="仿宋_GB2312" w:cstheme="minorBidi"/>
          <w:kern w:val="2"/>
          <w:sz w:val="32"/>
          <w:szCs w:val="32"/>
        </w:rPr>
        <w:t>加强心理健康服务能力建设,建立健全心理健康服务网络。普及心理健康教育,引导群众正确认识、识别、应对常见精神障碍和心理行为问题,提升居民心理健康素养水平。发挥市精神卫生中心职能作用，强化精神卫生综合管理机制，扎实做好严重精神障碍患者报告登记和救治救助管理。到2022年居民心理健康素养水平提升到20%，到2030年提升到30%，抑郁症、焦虑症、失眠等心理相关疾病发生的增速持续减缓。(牵头单位:市卫生健康局,责任单位：市委宣传部、市公安局、市民政局、市司法局、市医疗保障局、市应急管理局、市残联等) </w:t>
      </w:r>
    </w:p>
    <w:p>
      <w:pPr>
        <w:pStyle w:val="7"/>
        <w:shd w:val="clear" w:color="auto" w:fill="FFFFFF"/>
        <w:spacing w:before="0" w:beforeAutospacing="0" w:after="0" w:afterAutospacing="0" w:line="332" w:lineRule="atLeast"/>
        <w:ind w:firstLine="643" w:firstLineChars="200"/>
        <w:rPr>
          <w:rFonts w:hint="eastAsia" w:ascii="仿宋_GB2312" w:hAnsi="仿宋" w:eastAsia="仿宋_GB2312" w:cstheme="minorBidi"/>
          <w:kern w:val="2"/>
          <w:sz w:val="32"/>
          <w:szCs w:val="32"/>
        </w:rPr>
      </w:pPr>
      <w:r>
        <w:rPr>
          <w:rFonts w:hint="eastAsia" w:ascii="仿宋_GB2312" w:hAnsi="仿宋" w:eastAsia="仿宋_GB2312" w:cstheme="minorBidi"/>
          <w:b/>
          <w:bCs/>
          <w:kern w:val="2"/>
          <w:sz w:val="32"/>
          <w:szCs w:val="32"/>
        </w:rPr>
        <w:t>6.实施健康环境促进行动。</w:t>
      </w:r>
      <w:r>
        <w:rPr>
          <w:rFonts w:hint="eastAsia" w:ascii="仿宋_GB2312" w:hAnsi="仿宋" w:eastAsia="仿宋_GB2312" w:cstheme="minorBidi"/>
          <w:kern w:val="2"/>
          <w:sz w:val="32"/>
          <w:szCs w:val="32"/>
        </w:rPr>
        <w:t>结合文明城市创建、国家卫生城市复审,积极开展讲卫生、讲文明、树新风、除陋习活动,努力营造良好的环境,保障居民身体健康。编制环境与健康手册,普及宣传环境与健康基本理念、基本知识和基本技能。定期开展火灾、地震等自然灾害及突发事件应急演练，提高自救自护防范能力。推进大气、水、土壤污染防治，提高城市污水处理和环保治理能力，加强饮用水工程设施投入、管理和维护工作。加强公共用水、公共消防基础设施建设,城乡公共消防设施建设和维护管理，完善医疗机构无障碍设施。推进健康细胞工程建设规范和评价指标建设。建立环境与健康的调查、监测和风险评估制度。采取有效措施预防控制环境污染相关疾病、道路交通伤害、消费品质量安全事故等。实现居民饮用水水质达标情况持续改善。(牵头单位:市爱卫办，责任单位：市卫生健康局、市教育和体育局、市发展和改革局、市公安局、市民政局、泰安市生态环境局肥城分局、市农业农村局、市自然资源和规划局、市应急管理局、市水利局、市住房和城乡建设局、市城市管理局、市交通运输局、市市场监督管理局、市科技局、市文化和旅游局等)</w:t>
      </w:r>
    </w:p>
    <w:p>
      <w:pPr>
        <w:pStyle w:val="7"/>
        <w:shd w:val="clear" w:color="auto" w:fill="FFFFFF"/>
        <w:spacing w:before="0" w:beforeAutospacing="0" w:after="0" w:afterAutospacing="0" w:line="332" w:lineRule="atLeast"/>
        <w:ind w:firstLine="643" w:firstLineChars="200"/>
        <w:rPr>
          <w:rFonts w:hint="eastAsia" w:ascii="仿宋_GB2312" w:hAnsi="仿宋" w:eastAsia="仿宋_GB2312" w:cstheme="minorBidi"/>
          <w:kern w:val="2"/>
          <w:sz w:val="32"/>
          <w:szCs w:val="32"/>
        </w:rPr>
      </w:pPr>
      <w:r>
        <w:rPr>
          <w:rFonts w:hint="eastAsia" w:ascii="仿宋_GB2312" w:hAnsi="仿宋" w:eastAsia="仿宋_GB2312" w:cstheme="minorBidi"/>
          <w:b/>
          <w:bCs/>
          <w:kern w:val="2"/>
          <w:sz w:val="32"/>
          <w:szCs w:val="32"/>
        </w:rPr>
        <w:t>7.实施妇幼健康促进行动。</w:t>
      </w:r>
      <w:r>
        <w:rPr>
          <w:rFonts w:hint="eastAsia" w:ascii="仿宋_GB2312" w:hAnsi="仿宋" w:eastAsia="仿宋_GB2312" w:cstheme="minorBidi"/>
          <w:kern w:val="2"/>
          <w:sz w:val="32"/>
          <w:szCs w:val="32"/>
        </w:rPr>
        <w:t>健全完善妇幼健康服务体系,加强出生缺陷综合防治,实施妇幼健康和计划生育服务保障工程。根据婚前、孕前、孕期、儿童等阶段特点,积极引导家庭科学孕育和养育健康新生命,不断提高出生人口素质，加强儿童早期发展服务。扎实开展农村妇女宫颈癌和乳腺癌检查,保障促进生殖健康。在提供妇幼保健服务的医疗机构,积极推广应用中医药适宜技术和方法,开展中成药合理使用和培训。到2022年，婴儿死亡率控制在7‰及以下,孕产妇死亡率下降到9/10万及以下，2030年分别控制在4‰及以下，下降到7/10万及以下。(牵头单位:市卫生健康局,责任单位：市发展和改革局、市财政局、市教育和体育局、市人力资源和社会保障局、市医疗保障局、市民政局、市残联、市妇联等) </w:t>
      </w:r>
    </w:p>
    <w:p>
      <w:pPr>
        <w:pStyle w:val="7"/>
        <w:shd w:val="clear" w:color="auto" w:fill="FFFFFF"/>
        <w:spacing w:before="0" w:beforeAutospacing="0" w:after="0" w:afterAutospacing="0" w:line="332" w:lineRule="atLeast"/>
        <w:ind w:firstLine="643" w:firstLineChars="200"/>
        <w:rPr>
          <w:rFonts w:hint="eastAsia" w:ascii="仿宋_GB2312" w:hAnsi="仿宋" w:eastAsia="仿宋_GB2312" w:cstheme="minorBidi"/>
          <w:kern w:val="2"/>
          <w:sz w:val="32"/>
          <w:szCs w:val="32"/>
        </w:rPr>
      </w:pPr>
      <w:r>
        <w:rPr>
          <w:rFonts w:hint="eastAsia" w:ascii="仿宋_GB2312" w:hAnsi="仿宋" w:eastAsia="仿宋_GB2312" w:cstheme="minorBidi"/>
          <w:b/>
          <w:bCs/>
          <w:kern w:val="2"/>
          <w:sz w:val="32"/>
          <w:szCs w:val="32"/>
        </w:rPr>
        <w:t>8.实施中小学健康促进行动。</w:t>
      </w:r>
      <w:r>
        <w:rPr>
          <w:rFonts w:hint="eastAsia" w:ascii="仿宋_GB2312" w:hAnsi="仿宋" w:eastAsia="仿宋_GB2312" w:cstheme="minorBidi"/>
          <w:kern w:val="2"/>
          <w:sz w:val="32"/>
          <w:szCs w:val="32"/>
        </w:rPr>
        <w:t>积极推进健康学校建设,动员家庭、学校和社会共同维护中小学生身心健康。健全完善学生健康体检制度和学生体质健康监测制度。把学生体质健康状况作为对学校绩效考核的内容,将体育纳入高中学业水平测试和综合素质评价档案的重要内容。加强健康知识宣传，配强医务室(卫生室、校医院、保健室等)力量,分级分批配备校医和设施设备。支持社会力量参与组织儿童青少年体育活动。到2022年全市学生体质健康标准达标优良率达到50%及以上，到2030年达到55%及以上。全市儿童青少年总体近视率力争每年降低0.5个百分点以上,新发近视率明显下降。(牵头单位:市教育和体育局,责任单位：市卫生健康局、团市委、市体育事业发展中心等) </w:t>
      </w:r>
    </w:p>
    <w:p>
      <w:pPr>
        <w:pStyle w:val="7"/>
        <w:shd w:val="clear" w:color="auto" w:fill="FFFFFF"/>
        <w:spacing w:before="0" w:beforeAutospacing="0" w:after="0" w:afterAutospacing="0" w:line="332" w:lineRule="atLeast"/>
        <w:ind w:firstLine="643" w:firstLineChars="200"/>
        <w:rPr>
          <w:rFonts w:hint="eastAsia" w:ascii="仿宋_GB2312" w:hAnsi="仿宋" w:eastAsia="仿宋_GB2312" w:cstheme="minorBidi"/>
          <w:kern w:val="2"/>
          <w:sz w:val="32"/>
          <w:szCs w:val="32"/>
        </w:rPr>
      </w:pPr>
      <w:r>
        <w:rPr>
          <w:rFonts w:hint="eastAsia" w:ascii="仿宋_GB2312" w:hAnsi="仿宋" w:eastAsia="仿宋_GB2312" w:cstheme="minorBidi"/>
          <w:b/>
          <w:bCs/>
          <w:kern w:val="2"/>
          <w:sz w:val="32"/>
          <w:szCs w:val="32"/>
        </w:rPr>
        <w:t>9.实施职业健康保护行动</w:t>
      </w:r>
      <w:r>
        <w:rPr>
          <w:rFonts w:hint="eastAsia" w:ascii="仿宋_GB2312" w:hAnsi="仿宋" w:eastAsia="仿宋_GB2312" w:cstheme="minorBidi"/>
          <w:kern w:val="2"/>
          <w:sz w:val="32"/>
          <w:szCs w:val="32"/>
        </w:rPr>
        <w:t>。倡导健康工作方式，加强在职人员的日常锻炼，落实用人单位主体责任和部门监管责任，预防和控制职业病危害。积极开展“健康企业”建设，鼓励用人单位开展职工健康管理，加强尘肺病等职业病救治保障。到2022年和2030年实现接尘工龄不足5年的劳动者新发尘肺病报告例数占年度报告总例数的比例明显下降。(牵头单位:市卫生健康局,责任单位：市发展和改革局、市民政局、市人力资源和社会保障局、市医疗保障局、市总工会等)</w:t>
      </w:r>
    </w:p>
    <w:p>
      <w:pPr>
        <w:pStyle w:val="7"/>
        <w:shd w:val="clear" w:color="auto" w:fill="FFFFFF"/>
        <w:spacing w:before="0" w:beforeAutospacing="0" w:after="0" w:afterAutospacing="0" w:line="332" w:lineRule="atLeast"/>
        <w:ind w:firstLine="643" w:firstLineChars="200"/>
        <w:rPr>
          <w:rFonts w:hint="eastAsia" w:ascii="仿宋_GB2312" w:hAnsi="仿宋" w:eastAsia="仿宋_GB2312" w:cstheme="minorBidi"/>
          <w:kern w:val="2"/>
          <w:sz w:val="32"/>
          <w:szCs w:val="32"/>
        </w:rPr>
      </w:pPr>
      <w:r>
        <w:rPr>
          <w:rFonts w:hint="eastAsia" w:ascii="仿宋_GB2312" w:hAnsi="仿宋" w:eastAsia="仿宋_GB2312" w:cstheme="minorBidi"/>
          <w:b/>
          <w:bCs/>
          <w:kern w:val="2"/>
          <w:sz w:val="32"/>
          <w:szCs w:val="32"/>
        </w:rPr>
        <w:t>10.开展老年健康促进行动。</w:t>
      </w:r>
      <w:r>
        <w:rPr>
          <w:rFonts w:hint="eastAsia" w:ascii="仿宋_GB2312" w:hAnsi="仿宋" w:eastAsia="仿宋_GB2312" w:cstheme="minorBidi"/>
          <w:kern w:val="2"/>
          <w:sz w:val="32"/>
          <w:szCs w:val="32"/>
        </w:rPr>
        <w:t>实现健康老龄化，健全老年健康服务体系,优化老年医疗卫生资源配置,推进医养结合,推动发展中医药特色医养结合服务。面向老年人普及膳食营养、体育锻炼、定期体检、健康管理、心理健康以及合理用药等知识。落实居家和社区养老政策,探索推行职工长期护理保险制度,努力营造住、行、医、养的社会环境。鼓励老年人参加志愿服务,丰富老年文化生活。到2022年和2030年65至74岁老年人失能发生率有所下降,65 岁及以上人群老年期痴呆患病率增速下降。(牵头单位:市卫生健康局,责任单位：市民政局、市文化和旅游局、市人力资源和社会保障局、市住房和城乡建设局、市科技局、市交通运输局，市医疗保障局、市体育事业发展中心、市残联等）</w:t>
      </w:r>
    </w:p>
    <w:p>
      <w:pPr>
        <w:pStyle w:val="7"/>
        <w:shd w:val="clear" w:color="auto" w:fill="FFFFFF"/>
        <w:spacing w:before="0" w:beforeAutospacing="0" w:after="0" w:afterAutospacing="0" w:line="332" w:lineRule="atLeast"/>
        <w:ind w:firstLine="640" w:firstLineChars="200"/>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 </w:t>
      </w:r>
      <w:r>
        <w:rPr>
          <w:rFonts w:hint="eastAsia" w:ascii="仿宋_GB2312" w:hAnsi="仿宋" w:eastAsia="仿宋_GB2312" w:cstheme="minorBidi"/>
          <w:b/>
          <w:bCs/>
          <w:kern w:val="2"/>
          <w:sz w:val="32"/>
          <w:szCs w:val="32"/>
        </w:rPr>
        <w:t>11.实施心脑血管疾病防治行动。</w:t>
      </w:r>
      <w:r>
        <w:rPr>
          <w:rFonts w:hint="eastAsia" w:ascii="仿宋_GB2312" w:hAnsi="仿宋" w:eastAsia="仿宋_GB2312" w:cstheme="minorBidi"/>
          <w:kern w:val="2"/>
          <w:sz w:val="32"/>
          <w:szCs w:val="32"/>
        </w:rPr>
        <w:t>加大心脑血管疾病防治知识宣传，强化预防、筛查、干预和规范服务管理，加强高血压、高血糖、血脂异常的规范管理。建设医院急诊脑卒中、胸痛绿色通道，实现院前急救与院内急诊的互联互通和有效衔接，提高救治效率。到2022年心脑血管疾病死亡率下降到204/10万及以下，到2030年下降到185/10万及以下 。(牵头单位:市卫生健康局,责任单位：市发展和改革局、市财政局、市教育和体育局等） </w:t>
      </w:r>
    </w:p>
    <w:p>
      <w:pPr>
        <w:pStyle w:val="7"/>
        <w:shd w:val="clear" w:color="auto" w:fill="FFFFFF"/>
        <w:spacing w:before="0" w:beforeAutospacing="0" w:after="0" w:afterAutospacing="0" w:line="332" w:lineRule="atLeast"/>
        <w:ind w:firstLine="643" w:firstLineChars="200"/>
        <w:rPr>
          <w:rFonts w:hint="eastAsia" w:ascii="仿宋_GB2312" w:hAnsi="仿宋" w:eastAsia="仿宋_GB2312" w:cstheme="minorBidi"/>
          <w:kern w:val="2"/>
          <w:sz w:val="32"/>
          <w:szCs w:val="32"/>
        </w:rPr>
      </w:pPr>
      <w:r>
        <w:rPr>
          <w:rFonts w:hint="eastAsia" w:ascii="仿宋_GB2312" w:hAnsi="仿宋" w:eastAsia="仿宋_GB2312" w:cstheme="minorBidi"/>
          <w:b/>
          <w:bCs/>
          <w:kern w:val="2"/>
          <w:sz w:val="32"/>
          <w:szCs w:val="32"/>
        </w:rPr>
        <w:t>12.推广实施癌症防治行动</w:t>
      </w:r>
      <w:r>
        <w:rPr>
          <w:rFonts w:hint="eastAsia" w:ascii="仿宋_GB2312" w:hAnsi="仿宋" w:eastAsia="仿宋_GB2312" w:cstheme="minorBidi"/>
          <w:kern w:val="2"/>
          <w:sz w:val="32"/>
          <w:szCs w:val="32"/>
        </w:rPr>
        <w:t>。倡导积极预防癌症，有序扩大癌症筛查范围，推进早筛查、早诊断、早治疗，降低癌症发病率和死亡率，提高患者生存质量；加强农村贫困人口癌症筛查，推广应用常见癌症诊疗规范，提升基层医疗机构癌症诊疗能力。到2022年总体癌症5年生存率不低于43.3%，到2030年不低于46.6%。(牵头单位:市卫生健康局,责任单位：市发展和改革局、市财政局、市人力资源和社会保障局、市民政局、市医疗保障局、市市场监督管理局、市扶贫办、市总工会等) </w:t>
      </w:r>
    </w:p>
    <w:p>
      <w:pPr>
        <w:pStyle w:val="7"/>
        <w:shd w:val="clear" w:color="auto" w:fill="FFFFFF"/>
        <w:spacing w:before="0" w:beforeAutospacing="0" w:after="0" w:afterAutospacing="0" w:line="332" w:lineRule="atLeast"/>
        <w:ind w:firstLine="643" w:firstLineChars="200"/>
        <w:rPr>
          <w:rFonts w:hint="eastAsia" w:ascii="仿宋_GB2312" w:hAnsi="仿宋" w:eastAsia="仿宋_GB2312" w:cstheme="minorBidi"/>
          <w:kern w:val="2"/>
          <w:sz w:val="32"/>
          <w:szCs w:val="32"/>
        </w:rPr>
      </w:pPr>
      <w:r>
        <w:rPr>
          <w:rFonts w:hint="eastAsia" w:ascii="仿宋_GB2312" w:hAnsi="仿宋" w:eastAsia="仿宋_GB2312" w:cstheme="minorBidi"/>
          <w:b/>
          <w:bCs/>
          <w:kern w:val="2"/>
          <w:sz w:val="32"/>
          <w:szCs w:val="32"/>
        </w:rPr>
        <w:t>13.实施慢性呼吸系统疾病防治行动。</w:t>
      </w:r>
      <w:r>
        <w:rPr>
          <w:rFonts w:hint="eastAsia" w:ascii="仿宋_GB2312" w:hAnsi="仿宋" w:eastAsia="仿宋_GB2312" w:cstheme="minorBidi"/>
          <w:kern w:val="2"/>
          <w:sz w:val="32"/>
          <w:szCs w:val="32"/>
        </w:rPr>
        <w:t>逐步建立健全慢性呼吸系统疾病监测体系和服务网络，引导重点人群早期发现疾病，控制危险因素，预防疾病发生发展。探索高危人群首诊测量肺功能、40岁及以上人群体检检测肺功能。加强慢阻肺患者健康管理，提高基层医疗卫生机构肺功能检查能力。到2022年70岁及以下人群慢性呼吸系统疾病死亡率下降到9/10万及以下，到2030年下降到8.1/10万及以下。(牵头单位:市卫生健康局,责任单位：市发展和改革局、市科技局、市财政局、市医疗保障局等)</w:t>
      </w:r>
    </w:p>
    <w:p>
      <w:pPr>
        <w:pStyle w:val="7"/>
        <w:shd w:val="clear" w:color="auto" w:fill="FFFFFF"/>
        <w:spacing w:before="0" w:beforeAutospacing="0" w:after="0" w:afterAutospacing="0" w:line="332" w:lineRule="atLeast"/>
        <w:ind w:firstLine="643" w:firstLineChars="200"/>
        <w:rPr>
          <w:rFonts w:hint="eastAsia" w:ascii="仿宋_GB2312" w:hAnsi="仿宋" w:eastAsia="仿宋_GB2312" w:cstheme="minorBidi"/>
          <w:kern w:val="2"/>
          <w:sz w:val="32"/>
          <w:szCs w:val="32"/>
        </w:rPr>
      </w:pPr>
      <w:r>
        <w:rPr>
          <w:rFonts w:hint="eastAsia" w:ascii="仿宋_GB2312" w:hAnsi="仿宋" w:eastAsia="仿宋_GB2312" w:cstheme="minorBidi"/>
          <w:b/>
          <w:bCs/>
          <w:kern w:val="2"/>
          <w:sz w:val="32"/>
          <w:szCs w:val="32"/>
        </w:rPr>
        <w:t>14.巩固实施糖尿病防治行动。</w:t>
      </w:r>
      <w:r>
        <w:rPr>
          <w:rFonts w:hint="eastAsia" w:ascii="仿宋_GB2312" w:hAnsi="仿宋" w:eastAsia="仿宋_GB2312" w:cstheme="minorBidi"/>
          <w:kern w:val="2"/>
          <w:sz w:val="32"/>
          <w:szCs w:val="32"/>
        </w:rPr>
        <w:t>加强糖尿病相关知识普及,提示居民关注血糖水平,引导糖尿病前期人群科学降低发病风险,预防或延迟糖尿病的发生发展。加强对糖尿病患者和高危人群的健康管理,促进基层糖尿病及并发症筛查标准化和诊疗规范化,扩大糖尿病筛查,提升管理效果。到2022年糖尿病患者规范管理率达到60%及以上，到2030年达到70%及以上。(牵头单位:市卫生健康局,责任单位：市发展和改革局、市财政局、市医疗保障局等）</w:t>
      </w:r>
    </w:p>
    <w:p>
      <w:pPr>
        <w:pStyle w:val="7"/>
        <w:shd w:val="clear" w:color="auto" w:fill="FFFFFF"/>
        <w:spacing w:before="0" w:beforeAutospacing="0" w:after="0" w:afterAutospacing="0" w:line="332" w:lineRule="atLeast"/>
        <w:ind w:firstLine="643" w:firstLineChars="200"/>
        <w:rPr>
          <w:rFonts w:hint="eastAsia" w:ascii="仿宋_GB2312" w:hAnsi="仿宋" w:eastAsia="仿宋_GB2312" w:cstheme="minorBidi"/>
          <w:kern w:val="2"/>
          <w:sz w:val="32"/>
          <w:szCs w:val="32"/>
        </w:rPr>
      </w:pPr>
      <w:r>
        <w:rPr>
          <w:rFonts w:hint="eastAsia" w:ascii="仿宋_GB2312" w:hAnsi="仿宋" w:eastAsia="仿宋_GB2312" w:cstheme="minorBidi"/>
          <w:b/>
          <w:bCs/>
          <w:kern w:val="2"/>
          <w:sz w:val="32"/>
          <w:szCs w:val="32"/>
        </w:rPr>
        <w:t>15、实施传染病及地方病防控行动。</w:t>
      </w:r>
      <w:r>
        <w:rPr>
          <w:rFonts w:hint="eastAsia" w:ascii="仿宋_GB2312" w:hAnsi="仿宋" w:eastAsia="仿宋_GB2312" w:cstheme="minorBidi"/>
          <w:kern w:val="2"/>
          <w:sz w:val="32"/>
          <w:szCs w:val="32"/>
        </w:rPr>
        <w:t>全面落实传染病和地方病防治措施,有效控制传染病传播流行。加强艾滋病、病毒性肝炎、结核病等重大传染病的防控,努力控制传染病流行水平。引导居民提高防范意识，宣传疫苗预防疾病的重要作用,倡导高危人群在流感流行季节前接种流感疫苗。加强犬只登记管理,规范养犬行为，加强对宠物饲养者责任约束,提高兽用狂犬病疫苗注射率。强化碘缺乏病和饮水型地方性氟中毒等地方病防治,控制和消灭重点地方病。到2022年和2030年,适龄儿童免疫规划疫苗接种率保持在90%以上。(牵头单位:市卫生健康局,责任单位：市发改局、市财政局、市民政局、市市场监督管理局、泰安市生态环境局肥城分局、市水利局、市公安局、市住房和城乡建设局、市综合行政执法局、市畜牧兽医服务中心等)</w:t>
      </w:r>
    </w:p>
    <w:p>
      <w:pPr>
        <w:pStyle w:val="7"/>
        <w:shd w:val="clear" w:color="auto" w:fill="FFFFFF"/>
        <w:spacing w:before="0" w:beforeAutospacing="0" w:after="0" w:afterAutospacing="0" w:line="332" w:lineRule="atLeast"/>
        <w:ind w:firstLine="640" w:firstLineChars="200"/>
        <w:rPr>
          <w:rFonts w:hint="eastAsia" w:ascii="仿宋_GB2312" w:hAnsi="仿宋" w:eastAsia="仿宋_GB2312" w:cstheme="minorBidi"/>
          <w:kern w:val="2"/>
          <w:sz w:val="32"/>
          <w:szCs w:val="32"/>
        </w:rPr>
      </w:pPr>
      <w:r>
        <w:rPr>
          <w:rFonts w:hint="eastAsia" w:ascii="黑体" w:hAnsi="黑体" w:eastAsia="黑体" w:cstheme="minorBidi"/>
          <w:kern w:val="2"/>
          <w:sz w:val="32"/>
          <w:szCs w:val="32"/>
          <w:lang w:val="en-US" w:eastAsia="zh-CN" w:bidi="ar-SA"/>
        </w:rPr>
        <w:t>三、保障措施</w:t>
      </w:r>
    </w:p>
    <w:p>
      <w:pPr>
        <w:pStyle w:val="7"/>
        <w:shd w:val="clear" w:color="auto" w:fill="FFFFFF"/>
        <w:spacing w:before="0" w:beforeAutospacing="0" w:after="0" w:afterAutospacing="0" w:line="332" w:lineRule="atLeast"/>
        <w:ind w:firstLine="640" w:firstLineChars="200"/>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 (一)加强组织领导。各级各部门单位要切实提高思想认识,将推进健康肥城行动纳入重要议事日程,优化工作机制,强化工作措施，针对本辖区影响居民健康的主要问题,研究制定具体行动方案,分阶段分步骤组织实施,确保各项工作目标如期完成。相关责任部门要按照职责分工,研究制定政策措施,加大工作力度，推动重点任务落实到位。</w:t>
      </w:r>
    </w:p>
    <w:p>
      <w:pPr>
        <w:pStyle w:val="7"/>
        <w:shd w:val="clear" w:color="auto" w:fill="FFFFFF"/>
        <w:spacing w:before="0" w:beforeAutospacing="0" w:after="0" w:afterAutospacing="0" w:line="332" w:lineRule="atLeast"/>
        <w:ind w:firstLine="640" w:firstLineChars="200"/>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二）健全支撑体系。强化专业支撑，聘请公共卫生、传染病、突发应急、生态环境、市场监管、教育、体育等领域专家组成专家咨询委员会，负责为健康肥城建设推进实施提供技术支持。充分发挥中医药特色优势，鼓励医疗机构做好健康管理。加大财政支持力度，强化资金统筹，优化资源配置，全面提升基本公共卫生服务项目、重大公共卫生服务项目资金使用的针对性和有效性。</w:t>
      </w:r>
    </w:p>
    <w:p>
      <w:pPr>
        <w:pStyle w:val="7"/>
        <w:shd w:val="clear" w:color="auto" w:fill="FFFFFF"/>
        <w:spacing w:before="0" w:beforeAutospacing="0" w:after="0" w:afterAutospacing="0" w:line="332" w:lineRule="atLeast"/>
        <w:ind w:firstLine="640" w:firstLineChars="200"/>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三）注重宣传引导。采取多种形式开展舆论宣传，及时发布政策解读，回应社会关切。加强健康科普和信息传播，充分发挥媒体作用，大力宣传实施健康肥城行动、促进全民健康的重大意义、目标任务和重大举措。编制群众喜闻乐见的解读材料和文艺作品，有效引导群众了解和掌握必备健康知识，践行健康生活方式。加强科学引导和典型报道，增强社会的普遍认知，营造良好的社会氛围。</w:t>
      </w:r>
    </w:p>
    <w:p>
      <w:pPr>
        <w:pStyle w:val="7"/>
        <w:shd w:val="clear" w:color="auto" w:fill="FFFFFF"/>
        <w:spacing w:before="0" w:beforeAutospacing="0" w:after="0" w:afterAutospacing="0" w:line="332" w:lineRule="atLeast"/>
        <w:ind w:firstLine="640" w:firstLineChars="200"/>
        <w:rPr>
          <w:rFonts w:hint="eastAsia" w:ascii="仿宋_GB2312" w:hAnsi="仿宋" w:eastAsia="仿宋_GB2312" w:cstheme="minorBidi"/>
          <w:kern w:val="2"/>
          <w:sz w:val="32"/>
          <w:szCs w:val="32"/>
        </w:rPr>
      </w:pPr>
    </w:p>
    <w:p>
      <w:pPr>
        <w:pStyle w:val="7"/>
        <w:shd w:val="clear" w:color="auto" w:fill="FFFFFF"/>
        <w:spacing w:before="0" w:beforeAutospacing="0" w:after="0" w:afterAutospacing="0" w:line="332" w:lineRule="atLeast"/>
        <w:ind w:firstLine="640" w:firstLineChars="200"/>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附件:健康肥城行动主要指标</w:t>
      </w:r>
    </w:p>
    <w:p>
      <w:pPr>
        <w:pStyle w:val="7"/>
        <w:shd w:val="clear" w:color="auto" w:fill="FFFFFF"/>
        <w:spacing w:before="0" w:beforeAutospacing="0" w:after="0" w:afterAutospacing="0" w:line="332" w:lineRule="atLeast"/>
        <w:rPr>
          <w:rFonts w:hint="eastAsia" w:ascii="仿宋_GB2312" w:hAnsi="仿宋" w:eastAsia="仿宋_GB2312" w:cstheme="minorBidi"/>
          <w:kern w:val="2"/>
          <w:sz w:val="32"/>
          <w:szCs w:val="32"/>
        </w:rPr>
      </w:pPr>
    </w:p>
    <w:p>
      <w:pPr>
        <w:pStyle w:val="7"/>
        <w:shd w:val="clear" w:color="auto" w:fill="FFFFFF"/>
        <w:spacing w:before="0" w:beforeAutospacing="0" w:after="0" w:afterAutospacing="0" w:line="332" w:lineRule="atLeast"/>
        <w:rPr>
          <w:rFonts w:hint="eastAsia" w:ascii="仿宋_GB2312" w:hAnsi="仿宋" w:eastAsia="仿宋_GB2312" w:cstheme="minorBidi"/>
          <w:kern w:val="2"/>
          <w:sz w:val="32"/>
          <w:szCs w:val="32"/>
        </w:rPr>
      </w:pPr>
    </w:p>
    <w:p>
      <w:pPr>
        <w:pStyle w:val="7"/>
        <w:shd w:val="clear" w:color="auto" w:fill="FFFFFF"/>
        <w:spacing w:before="0" w:beforeAutospacing="0" w:after="0" w:afterAutospacing="0" w:line="332" w:lineRule="atLeast"/>
        <w:ind w:firstLine="640" w:firstLineChars="200"/>
        <w:jc w:val="right"/>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肥城市人民政府办公室2020年4月22日印发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b w:val="0"/>
          <w:i w:val="0"/>
          <w:caps w:val="0"/>
          <w:color w:val="333333"/>
          <w:spacing w:val="0"/>
          <w:sz w:val="15"/>
          <w:szCs w:val="15"/>
        </w:rPr>
      </w:pPr>
    </w:p>
    <w:p>
      <w:pPr>
        <w:spacing w:line="520" w:lineRule="exact"/>
        <w:jc w:val="center"/>
        <w:rPr>
          <w:rFonts w:hint="eastAsia" w:ascii="方正小标宋简体" w:eastAsia="方正小标宋简体" w:hAnsiTheme="minorEastAsia"/>
          <w:sz w:val="44"/>
          <w:szCs w:val="44"/>
        </w:rPr>
      </w:pPr>
    </w:p>
    <w:p>
      <w:pPr>
        <w:spacing w:line="520" w:lineRule="exact"/>
        <w:jc w:val="center"/>
        <w:rPr>
          <w:rFonts w:hint="eastAsia" w:ascii="宋体" w:hAnsi="宋体" w:eastAsia="宋体" w:cs="宋体"/>
          <w:sz w:val="44"/>
          <w:szCs w:val="44"/>
        </w:rPr>
      </w:pPr>
      <w:r>
        <w:rPr>
          <w:rFonts w:hint="eastAsia" w:ascii="宋体" w:hAnsi="宋体" w:eastAsia="宋体" w:cs="宋体"/>
          <w:sz w:val="44"/>
          <w:szCs w:val="44"/>
        </w:rPr>
        <w:t>肥城市人民政府</w:t>
      </w:r>
    </w:p>
    <w:p>
      <w:pPr>
        <w:spacing w:line="520" w:lineRule="exact"/>
        <w:jc w:val="center"/>
        <w:rPr>
          <w:rFonts w:hint="eastAsia" w:ascii="宋体" w:hAnsi="宋体" w:eastAsia="宋体" w:cs="宋体"/>
          <w:sz w:val="44"/>
          <w:szCs w:val="44"/>
        </w:rPr>
      </w:pPr>
      <w:r>
        <w:rPr>
          <w:rFonts w:hint="eastAsia" w:ascii="宋体" w:hAnsi="宋体" w:eastAsia="宋体" w:cs="宋体"/>
          <w:sz w:val="44"/>
          <w:szCs w:val="44"/>
        </w:rPr>
        <w:t>关于调整肥城市基准地价的通知</w:t>
      </w:r>
    </w:p>
    <w:p>
      <w:pPr>
        <w:spacing w:line="520" w:lineRule="exact"/>
        <w:jc w:val="center"/>
        <w:rPr>
          <w:rFonts w:ascii="方正小标宋简体" w:eastAsia="方正小标宋简体" w:hAnsiTheme="minorEastAsia"/>
          <w:sz w:val="44"/>
          <w:szCs w:val="44"/>
        </w:rPr>
      </w:pPr>
    </w:p>
    <w:p>
      <w:pPr>
        <w:spacing w:line="520" w:lineRule="exact"/>
        <w:jc w:val="center"/>
        <w:rPr>
          <w:rFonts w:ascii="楷体_GB2312" w:eastAsia="楷体_GB2312" w:hAnsiTheme="minorEastAsia"/>
          <w:sz w:val="32"/>
          <w:szCs w:val="32"/>
        </w:rPr>
      </w:pPr>
      <w:r>
        <w:rPr>
          <w:rFonts w:hint="eastAsia" w:ascii="楷体_GB2312" w:eastAsia="楷体_GB2312" w:hAnsiTheme="minorEastAsia"/>
          <w:sz w:val="32"/>
          <w:szCs w:val="32"/>
        </w:rPr>
        <w:t>肥政字〔20</w:t>
      </w:r>
      <w:r>
        <w:rPr>
          <w:rFonts w:hint="eastAsia" w:ascii="楷体_GB2312" w:eastAsia="楷体_GB2312" w:hAnsiTheme="minorEastAsia"/>
          <w:sz w:val="32"/>
          <w:szCs w:val="32"/>
          <w:lang w:val="en-US" w:eastAsia="zh-CN"/>
        </w:rPr>
        <w:t>20</w:t>
      </w:r>
      <w:r>
        <w:rPr>
          <w:rFonts w:hint="eastAsia" w:ascii="楷体_GB2312" w:eastAsia="楷体_GB2312" w:hAnsiTheme="minorEastAsia"/>
          <w:sz w:val="32"/>
          <w:szCs w:val="32"/>
        </w:rPr>
        <w:t>〕</w:t>
      </w:r>
      <w:r>
        <w:rPr>
          <w:rFonts w:hint="eastAsia" w:ascii="楷体_GB2312" w:eastAsia="楷体_GB2312" w:hAnsiTheme="minorEastAsia"/>
          <w:sz w:val="32"/>
          <w:szCs w:val="32"/>
          <w:lang w:val="en-US" w:eastAsia="zh-CN"/>
        </w:rPr>
        <w:t>19</w:t>
      </w:r>
      <w:r>
        <w:rPr>
          <w:rFonts w:hint="eastAsia" w:ascii="楷体_GB2312" w:eastAsia="楷体_GB2312" w:hAnsiTheme="minorEastAsia"/>
          <w:sz w:val="32"/>
          <w:szCs w:val="32"/>
        </w:rPr>
        <w:t>号</w:t>
      </w:r>
    </w:p>
    <w:p>
      <w:pPr>
        <w:spacing w:line="520" w:lineRule="exact"/>
        <w:jc w:val="center"/>
        <w:rPr>
          <w:rFonts w:ascii="仿宋_GB2312" w:eastAsia="仿宋_GB2312" w:hAnsiTheme="minorEastAsia"/>
          <w:sz w:val="32"/>
          <w:szCs w:val="32"/>
        </w:rPr>
      </w:pPr>
    </w:p>
    <w:p>
      <w:pPr>
        <w:pStyle w:val="7"/>
        <w:shd w:val="clear" w:color="auto" w:fill="FFFFFF"/>
        <w:spacing w:before="0" w:beforeAutospacing="0" w:after="0" w:afterAutospacing="0" w:line="332" w:lineRule="atLeast"/>
        <w:ind w:firstLine="640" w:firstLineChars="200"/>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各镇人民政府、街道办事处，高新区、经开区，市政府有关部门：</w:t>
      </w:r>
    </w:p>
    <w:p>
      <w:pPr>
        <w:pStyle w:val="7"/>
        <w:shd w:val="clear" w:color="auto" w:fill="FFFFFF"/>
        <w:spacing w:before="0" w:beforeAutospacing="0" w:after="0" w:afterAutospacing="0" w:line="332" w:lineRule="atLeast"/>
        <w:ind w:firstLine="640" w:firstLineChars="200"/>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为加强对土地价格的宏观调控和管理，引导土地市场健康发展，根据《中华人民共和国土地管理法》《中华人民共和国城市房地产管理法》等有关规定，经研究，决定调整肥城市基准地价。现将有关事项通知如下：</w:t>
      </w:r>
    </w:p>
    <w:p>
      <w:pPr>
        <w:pStyle w:val="7"/>
        <w:shd w:val="clear" w:color="auto" w:fill="FFFFFF"/>
        <w:spacing w:before="0" w:beforeAutospacing="0" w:after="0" w:afterAutospacing="0" w:line="332" w:lineRule="atLeast"/>
        <w:ind w:firstLine="640" w:firstLineChars="200"/>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一、调整范围。肥城市城市市区、各镇驻地规划区。</w:t>
      </w:r>
    </w:p>
    <w:p>
      <w:pPr>
        <w:pStyle w:val="7"/>
        <w:shd w:val="clear" w:color="auto" w:fill="FFFFFF"/>
        <w:spacing w:before="0" w:beforeAutospacing="0" w:after="0" w:afterAutospacing="0" w:line="332" w:lineRule="atLeast"/>
        <w:ind w:firstLine="640" w:firstLineChars="200"/>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二、土地级别划分。根据区位、景观、环境、基础设施完善度等情况，将城市市区的商服用地、住宅用地、工矿仓储、公共管理与公共服务用地土地级别分为四级；各镇驻地土地级别综合分为二级。</w:t>
      </w:r>
    </w:p>
    <w:p>
      <w:pPr>
        <w:pStyle w:val="7"/>
        <w:shd w:val="clear" w:color="auto" w:fill="FFFFFF"/>
        <w:spacing w:before="0" w:beforeAutospacing="0" w:after="0" w:afterAutospacing="0" w:line="332" w:lineRule="atLeast"/>
        <w:ind w:firstLine="640" w:firstLineChars="200"/>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三、基准地价内涵。土地权利状况为国有；土地使用年期为各类用地的法定最高年期，即商服用地40年、住宅用地70年、工矿仓储用地50年、公共管理与公共服务用地50年。市区土地还原率取值分别为商服用地6.5%，住宅用地6.5%，工矿仓储用地6.0%，公共管理与公共服务用地6.0%；各镇驻地土地还原率均为6.0%。市区标准容积率分别为商服用地1.5，住宅用地1.6，工矿仓储用地1.0，公共管理与公共服务用地1.2；各镇驻地标准容积率分别为商服用地1.2，住宅用地1.2，工矿仓储用地1.0，公共管理与公共服务用地1.2。</w:t>
      </w:r>
    </w:p>
    <w:p>
      <w:pPr>
        <w:pStyle w:val="7"/>
        <w:shd w:val="clear" w:color="auto" w:fill="FFFFFF"/>
        <w:spacing w:before="0" w:beforeAutospacing="0" w:after="0" w:afterAutospacing="0" w:line="332" w:lineRule="atLeast"/>
        <w:ind w:firstLine="640" w:firstLineChars="200"/>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四、土地使用权出让、转让、出租、抵押或改变用途，企业改组、改制、兼并破产、原划拨土地使用权转让和变更出让土地使用条件的，应进行地价评估。</w:t>
      </w:r>
    </w:p>
    <w:p>
      <w:pPr>
        <w:pStyle w:val="7"/>
        <w:shd w:val="clear" w:color="auto" w:fill="FFFFFF"/>
        <w:spacing w:before="0" w:beforeAutospacing="0" w:after="0" w:afterAutospacing="0" w:line="332" w:lineRule="atLeast"/>
        <w:ind w:firstLine="640" w:firstLineChars="200"/>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本基准地价自2020年7月1日起施行，原基准地价同时停止执行。</w:t>
      </w:r>
    </w:p>
    <w:p>
      <w:pPr>
        <w:pStyle w:val="7"/>
        <w:shd w:val="clear" w:color="auto" w:fill="FFFFFF"/>
        <w:spacing w:before="0" w:beforeAutospacing="0" w:after="0" w:afterAutospacing="0" w:line="332" w:lineRule="atLeast"/>
        <w:ind w:firstLine="640" w:firstLineChars="200"/>
        <w:rPr>
          <w:rFonts w:hint="eastAsia" w:ascii="仿宋_GB2312" w:hAnsi="仿宋" w:eastAsia="仿宋_GB2312" w:cstheme="minorBidi"/>
          <w:kern w:val="2"/>
          <w:sz w:val="32"/>
          <w:szCs w:val="32"/>
        </w:rPr>
      </w:pPr>
    </w:p>
    <w:p>
      <w:pPr>
        <w:pStyle w:val="7"/>
        <w:shd w:val="clear" w:color="auto" w:fill="FFFFFF"/>
        <w:spacing w:before="0" w:beforeAutospacing="0" w:after="0" w:afterAutospacing="0" w:line="332" w:lineRule="atLeast"/>
        <w:ind w:firstLine="640" w:firstLineChars="200"/>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附件：1.肥城市城区基准地价表</w:t>
      </w:r>
    </w:p>
    <w:p>
      <w:pPr>
        <w:pStyle w:val="7"/>
        <w:shd w:val="clear" w:color="auto" w:fill="FFFFFF"/>
        <w:spacing w:before="0" w:beforeAutospacing="0" w:after="0" w:afterAutospacing="0" w:line="332" w:lineRule="atLeast"/>
        <w:ind w:firstLine="640" w:firstLineChars="200"/>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 2.肥城市建制镇基准地价表</w:t>
      </w:r>
    </w:p>
    <w:p>
      <w:pPr>
        <w:pStyle w:val="7"/>
        <w:shd w:val="clear" w:color="auto" w:fill="FFFFFF"/>
        <w:spacing w:before="0" w:beforeAutospacing="0" w:after="0" w:afterAutospacing="0" w:line="332" w:lineRule="atLeast"/>
        <w:ind w:firstLine="640" w:firstLineChars="200"/>
        <w:rPr>
          <w:rFonts w:hint="eastAsia" w:ascii="仿宋_GB2312" w:hAnsi="仿宋" w:eastAsia="仿宋_GB2312" w:cstheme="minorBidi"/>
          <w:kern w:val="2"/>
          <w:sz w:val="32"/>
          <w:szCs w:val="32"/>
        </w:rPr>
      </w:pPr>
    </w:p>
    <w:p>
      <w:pPr>
        <w:pStyle w:val="7"/>
        <w:shd w:val="clear" w:color="auto" w:fill="FFFFFF"/>
        <w:spacing w:before="0" w:beforeAutospacing="0" w:after="0" w:afterAutospacing="0" w:line="332" w:lineRule="atLeast"/>
        <w:ind w:firstLine="640" w:firstLineChars="200"/>
        <w:rPr>
          <w:rFonts w:hint="eastAsia" w:ascii="仿宋_GB2312" w:hAnsi="仿宋" w:eastAsia="仿宋_GB2312" w:cstheme="minorBidi"/>
          <w:kern w:val="2"/>
          <w:sz w:val="32"/>
          <w:szCs w:val="32"/>
        </w:rPr>
      </w:pPr>
    </w:p>
    <w:p>
      <w:pPr>
        <w:pStyle w:val="7"/>
        <w:shd w:val="clear" w:color="auto" w:fill="FFFFFF"/>
        <w:spacing w:before="0" w:beforeAutospacing="0" w:after="0" w:afterAutospacing="0" w:line="332" w:lineRule="atLeast"/>
        <w:ind w:firstLine="640" w:firstLineChars="200"/>
        <w:jc w:val="right"/>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肥城市人民政府</w:t>
      </w:r>
    </w:p>
    <w:p>
      <w:pPr>
        <w:pStyle w:val="7"/>
        <w:shd w:val="clear" w:color="auto" w:fill="FFFFFF"/>
        <w:spacing w:before="0" w:beforeAutospacing="0" w:after="0" w:afterAutospacing="0" w:line="332" w:lineRule="atLeast"/>
        <w:ind w:firstLine="640" w:firstLineChars="200"/>
        <w:jc w:val="right"/>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　　2020年6月12日</w:t>
      </w:r>
    </w:p>
    <w:p>
      <w:pPr>
        <w:pStyle w:val="7"/>
        <w:shd w:val="clear" w:color="auto" w:fill="FFFFFF"/>
        <w:spacing w:before="0" w:beforeAutospacing="0" w:after="0" w:afterAutospacing="0" w:line="332" w:lineRule="atLeast"/>
        <w:ind w:firstLine="640" w:firstLineChars="200"/>
        <w:rPr>
          <w:rFonts w:hint="eastAsia" w:ascii="仿宋_GB2312" w:hAnsi="仿宋" w:eastAsia="仿宋_GB2312" w:cstheme="minorBidi"/>
          <w:kern w:val="2"/>
          <w:sz w:val="32"/>
          <w:szCs w:val="32"/>
        </w:rPr>
      </w:pPr>
    </w:p>
    <w:p>
      <w:pPr>
        <w:pStyle w:val="7"/>
        <w:shd w:val="clear" w:color="auto" w:fill="FFFFFF"/>
        <w:spacing w:before="0" w:beforeAutospacing="0" w:after="0" w:afterAutospacing="0" w:line="332" w:lineRule="atLeast"/>
        <w:ind w:firstLine="640" w:firstLineChars="200"/>
        <w:rPr>
          <w:rFonts w:hint="eastAsia" w:ascii="仿宋_GB2312" w:hAnsi="仿宋" w:eastAsia="仿宋_GB2312" w:cstheme="minorBidi"/>
          <w:kern w:val="2"/>
          <w:sz w:val="32"/>
          <w:szCs w:val="32"/>
        </w:rPr>
      </w:pPr>
    </w:p>
    <w:p>
      <w:pPr>
        <w:pStyle w:val="7"/>
        <w:shd w:val="clear" w:color="auto" w:fill="FFFFFF"/>
        <w:spacing w:before="0" w:beforeAutospacing="0" w:after="0" w:afterAutospacing="0" w:line="332" w:lineRule="atLeast"/>
        <w:ind w:firstLine="640" w:firstLineChars="200"/>
        <w:jc w:val="right"/>
        <w:rPr>
          <w:rFonts w:hint="eastAsia" w:ascii="仿宋_GB2312" w:hAnsi="仿宋" w:eastAsia="仿宋_GB2312" w:cstheme="minorBidi"/>
          <w:kern w:val="2"/>
          <w:sz w:val="32"/>
          <w:szCs w:val="32"/>
        </w:rPr>
      </w:pPr>
      <w:r>
        <w:rPr>
          <w:rFonts w:hint="eastAsia" w:ascii="仿宋_GB2312" w:hAnsi="仿宋" w:eastAsia="仿宋_GB2312" w:cstheme="minorBidi"/>
          <w:kern w:val="2"/>
          <w:sz w:val="32"/>
          <w:szCs w:val="32"/>
        </w:rPr>
        <w:t>肥城市人民政府办公室2020年6月15日印发</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b w:val="0"/>
          <w:i w:val="0"/>
          <w:caps w:val="0"/>
          <w:color w:val="333333"/>
          <w:spacing w:val="0"/>
          <w:sz w:val="15"/>
          <w:szCs w:val="15"/>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b w:val="0"/>
          <w:i w:val="0"/>
          <w:caps w:val="0"/>
          <w:color w:val="333333"/>
          <w:spacing w:val="0"/>
          <w:sz w:val="15"/>
          <w:szCs w:val="15"/>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color w:val="333333"/>
          <w:sz w:val="14"/>
          <w:szCs w:val="14"/>
        </w:rPr>
      </w:pPr>
      <w:r>
        <w:rPr>
          <w:rFonts w:ascii="黑体" w:hAnsi="宋体" w:eastAsia="黑体" w:cs="黑体"/>
          <w:b w:val="0"/>
          <w:i w:val="0"/>
          <w:caps w:val="0"/>
          <w:color w:val="333333"/>
          <w:spacing w:val="0"/>
          <w:sz w:val="21"/>
          <w:szCs w:val="21"/>
          <w:shd w:val="clear" w:fill="FFFFFF"/>
        </w:rPr>
        <w:t>附件</w:t>
      </w:r>
      <w:r>
        <w:rPr>
          <w:rFonts w:hint="default" w:ascii="Times New Roman" w:hAnsi="Times New Roman" w:eastAsia="微软雅黑" w:cs="Times New Roman"/>
          <w:b w:val="0"/>
          <w:i w:val="0"/>
          <w:caps w:val="0"/>
          <w:color w:val="333333"/>
          <w:spacing w:val="0"/>
          <w:sz w:val="21"/>
          <w:szCs w:val="21"/>
          <w:shd w:val="clear" w:fill="FFFFFF"/>
        </w:rPr>
        <w:t>1</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rFonts w:hint="eastAsia" w:ascii="宋体" w:hAnsi="宋体" w:eastAsia="宋体" w:cs="宋体"/>
          <w:color w:val="333333"/>
          <w:sz w:val="14"/>
          <w:szCs w:val="14"/>
        </w:rPr>
      </w:pPr>
      <w:r>
        <w:rPr>
          <w:rFonts w:hint="eastAsia" w:ascii="宋体" w:hAnsi="宋体" w:eastAsia="宋体" w:cs="宋体"/>
          <w:b w:val="0"/>
          <w:i w:val="0"/>
          <w:caps w:val="0"/>
          <w:color w:val="333333"/>
          <w:spacing w:val="0"/>
          <w:sz w:val="29"/>
          <w:szCs w:val="29"/>
          <w:shd w:val="clear" w:fill="FFFFFF"/>
        </w:rPr>
        <w:t>肥城市城区基准地价表</w:t>
      </w:r>
    </w:p>
    <w:tbl>
      <w:tblPr>
        <w:tblStyle w:val="8"/>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20"/>
        <w:gridCol w:w="1120"/>
        <w:gridCol w:w="940"/>
        <w:gridCol w:w="940"/>
        <w:gridCol w:w="940"/>
        <w:gridCol w:w="9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00" w:hRule="atLeast"/>
          <w:jc w:val="center"/>
        </w:trPr>
        <w:tc>
          <w:tcPr>
            <w:tcW w:w="2140" w:type="dxa"/>
            <w:gridSpan w:val="2"/>
            <w:tcBorders>
              <w:top w:val="single" w:color="auto" w:sz="4" w:space="0"/>
              <w:left w:val="single" w:color="auto" w:sz="4" w:space="0"/>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eastAsia" w:ascii="黑体" w:hAnsi="宋体" w:eastAsia="黑体" w:cs="黑体"/>
                <w:color w:val="333333"/>
                <w:sz w:val="16"/>
                <w:szCs w:val="16"/>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eastAsia" w:ascii="黑体" w:hAnsi="宋体" w:eastAsia="黑体" w:cs="黑体"/>
                <w:color w:val="333333"/>
                <w:sz w:val="16"/>
                <w:szCs w:val="16"/>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color w:val="333333"/>
                <w:sz w:val="14"/>
                <w:szCs w:val="14"/>
              </w:rPr>
            </w:pPr>
            <w:r>
              <w:rPr>
                <w:rFonts w:hint="eastAsia" w:ascii="黑体" w:hAnsi="宋体" w:eastAsia="黑体" w:cs="黑体"/>
                <w:color w:val="333333"/>
                <w:sz w:val="16"/>
                <w:szCs w:val="16"/>
              </w:rPr>
              <w:t>用途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eastAsia" w:ascii="黑体" w:hAnsi="宋体" w:eastAsia="黑体" w:cs="黑体"/>
                <w:color w:val="333333"/>
                <w:sz w:val="16"/>
                <w:szCs w:val="16"/>
              </w:rPr>
              <w:t>级</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eastAsia" w:ascii="黑体" w:hAnsi="宋体" w:eastAsia="黑体" w:cs="黑体"/>
                <w:color w:val="333333"/>
                <w:sz w:val="16"/>
                <w:szCs w:val="16"/>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eastAsia" w:ascii="黑体" w:hAnsi="宋体" w:eastAsia="黑体" w:cs="黑体"/>
                <w:color w:val="333333"/>
                <w:sz w:val="16"/>
                <w:szCs w:val="16"/>
              </w:rPr>
              <w:t> 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eastAsia" w:ascii="黑体" w:hAnsi="宋体" w:eastAsia="黑体" w:cs="黑体"/>
                <w:color w:val="333333"/>
                <w:sz w:val="16"/>
                <w:szCs w:val="16"/>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eastAsia" w:ascii="黑体" w:hAnsi="宋体" w:eastAsia="黑体" w:cs="黑体"/>
                <w:color w:val="333333"/>
                <w:sz w:val="16"/>
                <w:szCs w:val="16"/>
              </w:rPr>
              <w:t>级别</w:t>
            </w:r>
          </w:p>
        </w:tc>
        <w:tc>
          <w:tcPr>
            <w:tcW w:w="940" w:type="dxa"/>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eastAsia" w:ascii="黑体" w:hAnsi="宋体" w:eastAsia="黑体" w:cs="黑体"/>
                <w:color w:val="333333"/>
                <w:sz w:val="19"/>
                <w:szCs w:val="19"/>
              </w:rPr>
              <w:t>一级</w:t>
            </w:r>
          </w:p>
        </w:tc>
        <w:tc>
          <w:tcPr>
            <w:tcW w:w="940" w:type="dxa"/>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eastAsia" w:ascii="黑体" w:hAnsi="宋体" w:eastAsia="黑体" w:cs="黑体"/>
                <w:color w:val="333333"/>
                <w:sz w:val="19"/>
                <w:szCs w:val="19"/>
              </w:rPr>
              <w:t>二级</w:t>
            </w:r>
          </w:p>
        </w:tc>
        <w:tc>
          <w:tcPr>
            <w:tcW w:w="940" w:type="dxa"/>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eastAsia" w:ascii="黑体" w:hAnsi="宋体" w:eastAsia="黑体" w:cs="黑体"/>
                <w:color w:val="333333"/>
                <w:sz w:val="19"/>
                <w:szCs w:val="19"/>
              </w:rPr>
              <w:t>三级</w:t>
            </w:r>
          </w:p>
        </w:tc>
        <w:tc>
          <w:tcPr>
            <w:tcW w:w="940" w:type="dxa"/>
            <w:tcBorders>
              <w:top w:val="single" w:color="auto" w:sz="4" w:space="0"/>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eastAsia" w:ascii="黑体" w:hAnsi="宋体" w:eastAsia="黑体" w:cs="黑体"/>
                <w:color w:val="333333"/>
                <w:sz w:val="19"/>
                <w:szCs w:val="19"/>
              </w:rPr>
              <w:t>四级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1020" w:type="dxa"/>
            <w:vMerge w:val="restar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ascii="仿宋_GB2312" w:eastAsia="仿宋_GB2312" w:cs="仿宋_GB2312"/>
                <w:color w:val="333333"/>
                <w:sz w:val="19"/>
                <w:szCs w:val="19"/>
              </w:rPr>
              <w:t>商服</w:t>
            </w:r>
          </w:p>
        </w:tc>
        <w:tc>
          <w:tcPr>
            <w:tcW w:w="11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9"/>
                <w:szCs w:val="19"/>
              </w:rPr>
              <w:t>元</w:t>
            </w:r>
            <w:r>
              <w:rPr>
                <w:rFonts w:hint="default" w:ascii="Times New Roman" w:hAnsi="Times New Roman" w:cs="Times New Roman"/>
                <w:color w:val="333333"/>
                <w:sz w:val="19"/>
                <w:szCs w:val="19"/>
              </w:rPr>
              <w:t>/</w:t>
            </w:r>
            <w:r>
              <w:rPr>
                <w:rFonts w:hint="default" w:ascii="仿宋_GB2312" w:eastAsia="仿宋_GB2312" w:cs="仿宋_GB2312"/>
                <w:color w:val="333333"/>
                <w:sz w:val="19"/>
                <w:szCs w:val="19"/>
              </w:rPr>
              <w:t>平方米</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2070</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1590</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1057</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750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1020" w:type="dxa"/>
            <w:vMerge w:val="continue"/>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rPr>
                <w:rFonts w:hint="eastAsia" w:ascii="宋体"/>
                <w:sz w:val="24"/>
                <w:szCs w:val="24"/>
              </w:rPr>
            </w:pPr>
          </w:p>
        </w:tc>
        <w:tc>
          <w:tcPr>
            <w:tcW w:w="11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9"/>
                <w:szCs w:val="19"/>
              </w:rPr>
              <w:t>万元</w:t>
            </w:r>
            <w:r>
              <w:rPr>
                <w:rFonts w:hint="default" w:ascii="Times New Roman" w:hAnsi="Times New Roman" w:cs="Times New Roman"/>
                <w:color w:val="333333"/>
                <w:sz w:val="19"/>
                <w:szCs w:val="19"/>
              </w:rPr>
              <w:t>/</w:t>
            </w:r>
            <w:r>
              <w:rPr>
                <w:rFonts w:hint="default" w:ascii="仿宋_GB2312" w:eastAsia="仿宋_GB2312" w:cs="仿宋_GB2312"/>
                <w:color w:val="333333"/>
                <w:sz w:val="19"/>
                <w:szCs w:val="19"/>
              </w:rPr>
              <w:t>亩</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138</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106</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70.47</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1020" w:type="dxa"/>
            <w:vMerge w:val="restar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9"/>
                <w:szCs w:val="19"/>
              </w:rPr>
              <w:t>住宅</w:t>
            </w:r>
          </w:p>
        </w:tc>
        <w:tc>
          <w:tcPr>
            <w:tcW w:w="11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9"/>
                <w:szCs w:val="19"/>
              </w:rPr>
              <w:t>元</w:t>
            </w:r>
            <w:r>
              <w:rPr>
                <w:rFonts w:hint="default" w:ascii="Times New Roman" w:hAnsi="Times New Roman" w:cs="Times New Roman"/>
                <w:color w:val="333333"/>
                <w:sz w:val="19"/>
                <w:szCs w:val="19"/>
              </w:rPr>
              <w:t>/</w:t>
            </w:r>
            <w:r>
              <w:rPr>
                <w:rFonts w:hint="default" w:ascii="仿宋_GB2312" w:eastAsia="仿宋_GB2312" w:cs="仿宋_GB2312"/>
                <w:color w:val="333333"/>
                <w:sz w:val="19"/>
                <w:szCs w:val="19"/>
              </w:rPr>
              <w:t>平方米</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1752</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1403</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945</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624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1020" w:type="dxa"/>
            <w:vMerge w:val="continue"/>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rPr>
                <w:rFonts w:hint="eastAsia" w:ascii="宋体"/>
                <w:sz w:val="24"/>
                <w:szCs w:val="24"/>
              </w:rPr>
            </w:pPr>
          </w:p>
        </w:tc>
        <w:tc>
          <w:tcPr>
            <w:tcW w:w="11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9"/>
                <w:szCs w:val="19"/>
              </w:rPr>
              <w:t>万元</w:t>
            </w:r>
            <w:r>
              <w:rPr>
                <w:rFonts w:hint="default" w:ascii="Times New Roman" w:hAnsi="Times New Roman" w:cs="Times New Roman"/>
                <w:color w:val="333333"/>
                <w:sz w:val="19"/>
                <w:szCs w:val="19"/>
              </w:rPr>
              <w:t>/</w:t>
            </w:r>
            <w:r>
              <w:rPr>
                <w:rFonts w:hint="default" w:ascii="仿宋_GB2312" w:eastAsia="仿宋_GB2312" w:cs="仿宋_GB2312"/>
                <w:color w:val="333333"/>
                <w:sz w:val="19"/>
                <w:szCs w:val="19"/>
              </w:rPr>
              <w:t>亩</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116.8</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93.53</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63</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41.6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1020" w:type="dxa"/>
            <w:vMerge w:val="restar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9"/>
                <w:szCs w:val="19"/>
              </w:rPr>
              <w:t>工矿仓储</w:t>
            </w:r>
          </w:p>
        </w:tc>
        <w:tc>
          <w:tcPr>
            <w:tcW w:w="11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9"/>
                <w:szCs w:val="19"/>
              </w:rPr>
              <w:t>元</w:t>
            </w:r>
            <w:r>
              <w:rPr>
                <w:rFonts w:hint="default" w:ascii="Times New Roman" w:hAnsi="Times New Roman" w:cs="Times New Roman"/>
                <w:color w:val="333333"/>
                <w:sz w:val="19"/>
                <w:szCs w:val="19"/>
              </w:rPr>
              <w:t>/</w:t>
            </w:r>
            <w:r>
              <w:rPr>
                <w:rFonts w:hint="default" w:ascii="仿宋_GB2312" w:eastAsia="仿宋_GB2312" w:cs="仿宋_GB2312"/>
                <w:color w:val="333333"/>
                <w:sz w:val="19"/>
                <w:szCs w:val="19"/>
              </w:rPr>
              <w:t>平方米</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425</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330</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275</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240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1020" w:type="dxa"/>
            <w:vMerge w:val="continue"/>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rPr>
                <w:rFonts w:hint="eastAsia" w:ascii="宋体"/>
                <w:sz w:val="24"/>
                <w:szCs w:val="24"/>
              </w:rPr>
            </w:pPr>
          </w:p>
        </w:tc>
        <w:tc>
          <w:tcPr>
            <w:tcW w:w="11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9"/>
                <w:szCs w:val="19"/>
              </w:rPr>
              <w:t>万元</w:t>
            </w:r>
            <w:r>
              <w:rPr>
                <w:rFonts w:hint="default" w:ascii="Times New Roman" w:hAnsi="Times New Roman" w:cs="Times New Roman"/>
                <w:color w:val="333333"/>
                <w:sz w:val="19"/>
                <w:szCs w:val="19"/>
              </w:rPr>
              <w:t>/</w:t>
            </w:r>
            <w:r>
              <w:rPr>
                <w:rFonts w:hint="default" w:ascii="仿宋_GB2312" w:eastAsia="仿宋_GB2312" w:cs="仿宋_GB2312"/>
                <w:color w:val="333333"/>
                <w:sz w:val="19"/>
                <w:szCs w:val="19"/>
              </w:rPr>
              <w:t>亩</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28.33</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22</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18.33</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1020" w:type="dxa"/>
            <w:vMerge w:val="restar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pacing w:val="-10"/>
                <w:sz w:val="19"/>
                <w:szCs w:val="19"/>
              </w:rPr>
              <w:t>公服用地</w:t>
            </w:r>
            <w:r>
              <w:rPr>
                <w:rFonts w:hint="default" w:ascii="Times New Roman" w:hAnsi="Times New Roman" w:cs="Times New Roman"/>
                <w:color w:val="333333"/>
                <w:spacing w:val="-10"/>
                <w:sz w:val="19"/>
                <w:szCs w:val="19"/>
              </w:rPr>
              <w:t>Ⅰ</w:t>
            </w:r>
          </w:p>
        </w:tc>
        <w:tc>
          <w:tcPr>
            <w:tcW w:w="11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9"/>
                <w:szCs w:val="19"/>
              </w:rPr>
              <w:t>元</w:t>
            </w:r>
            <w:r>
              <w:rPr>
                <w:rFonts w:hint="default" w:ascii="Times New Roman" w:hAnsi="Times New Roman" w:cs="Times New Roman"/>
                <w:color w:val="333333"/>
                <w:sz w:val="19"/>
                <w:szCs w:val="19"/>
              </w:rPr>
              <w:t>/</w:t>
            </w:r>
            <w:r>
              <w:rPr>
                <w:rFonts w:hint="default" w:ascii="仿宋_GB2312" w:eastAsia="仿宋_GB2312" w:cs="仿宋_GB2312"/>
                <w:color w:val="333333"/>
                <w:sz w:val="19"/>
                <w:szCs w:val="19"/>
              </w:rPr>
              <w:t>平方米</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656</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534</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439</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379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1020" w:type="dxa"/>
            <w:vMerge w:val="continue"/>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rPr>
                <w:rFonts w:hint="eastAsia" w:ascii="宋体"/>
                <w:sz w:val="24"/>
                <w:szCs w:val="24"/>
              </w:rPr>
            </w:pPr>
          </w:p>
        </w:tc>
        <w:tc>
          <w:tcPr>
            <w:tcW w:w="11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9"/>
                <w:szCs w:val="19"/>
              </w:rPr>
              <w:t>万元</w:t>
            </w:r>
            <w:r>
              <w:rPr>
                <w:rFonts w:hint="default" w:ascii="Times New Roman" w:hAnsi="Times New Roman" w:cs="Times New Roman"/>
                <w:color w:val="333333"/>
                <w:sz w:val="19"/>
                <w:szCs w:val="19"/>
              </w:rPr>
              <w:t>/</w:t>
            </w:r>
            <w:r>
              <w:rPr>
                <w:rFonts w:hint="default" w:ascii="仿宋_GB2312" w:eastAsia="仿宋_GB2312" w:cs="仿宋_GB2312"/>
                <w:color w:val="333333"/>
                <w:sz w:val="19"/>
                <w:szCs w:val="19"/>
              </w:rPr>
              <w:t>亩</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43.73</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35.6</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29.27</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25.27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0" w:hRule="atLeast"/>
          <w:jc w:val="center"/>
        </w:trPr>
        <w:tc>
          <w:tcPr>
            <w:tcW w:w="1020" w:type="dxa"/>
            <w:vMerge w:val="restart"/>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pacing w:val="-10"/>
                <w:sz w:val="19"/>
                <w:szCs w:val="19"/>
              </w:rPr>
              <w:t>公服用地</w:t>
            </w:r>
            <w:r>
              <w:rPr>
                <w:rFonts w:hint="default" w:ascii="Times New Roman" w:hAnsi="Times New Roman" w:cs="Times New Roman"/>
                <w:color w:val="333333"/>
                <w:spacing w:val="-10"/>
                <w:sz w:val="19"/>
                <w:szCs w:val="19"/>
              </w:rPr>
              <w:t>Ⅱ</w:t>
            </w:r>
          </w:p>
        </w:tc>
        <w:tc>
          <w:tcPr>
            <w:tcW w:w="11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9"/>
                <w:szCs w:val="19"/>
              </w:rPr>
              <w:t>元</w:t>
            </w:r>
            <w:r>
              <w:rPr>
                <w:rFonts w:hint="default" w:ascii="Times New Roman" w:hAnsi="Times New Roman" w:cs="Times New Roman"/>
                <w:color w:val="333333"/>
                <w:sz w:val="19"/>
                <w:szCs w:val="19"/>
              </w:rPr>
              <w:t>/</w:t>
            </w:r>
            <w:r>
              <w:rPr>
                <w:rFonts w:hint="default" w:ascii="仿宋_GB2312" w:eastAsia="仿宋_GB2312" w:cs="仿宋_GB2312"/>
                <w:color w:val="333333"/>
                <w:sz w:val="19"/>
                <w:szCs w:val="19"/>
              </w:rPr>
              <w:t>平方米</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731</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600</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515</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435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70" w:hRule="atLeast"/>
          <w:jc w:val="center"/>
        </w:trPr>
        <w:tc>
          <w:tcPr>
            <w:tcW w:w="1020" w:type="dxa"/>
            <w:vMerge w:val="continue"/>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rPr>
                <w:rFonts w:hint="eastAsia" w:ascii="宋体"/>
                <w:sz w:val="24"/>
                <w:szCs w:val="24"/>
              </w:rPr>
            </w:pPr>
          </w:p>
        </w:tc>
        <w:tc>
          <w:tcPr>
            <w:tcW w:w="112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9"/>
                <w:szCs w:val="19"/>
              </w:rPr>
              <w:t>万元</w:t>
            </w:r>
            <w:r>
              <w:rPr>
                <w:rFonts w:hint="default" w:ascii="Times New Roman" w:hAnsi="Times New Roman" w:cs="Times New Roman"/>
                <w:color w:val="333333"/>
                <w:sz w:val="19"/>
                <w:szCs w:val="19"/>
              </w:rPr>
              <w:t>/</w:t>
            </w:r>
            <w:r>
              <w:rPr>
                <w:rFonts w:hint="default" w:ascii="仿宋_GB2312" w:eastAsia="仿宋_GB2312" w:cs="仿宋_GB2312"/>
                <w:color w:val="333333"/>
                <w:sz w:val="19"/>
                <w:szCs w:val="19"/>
              </w:rPr>
              <w:t>亩</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48.73</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40</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34.33</w:t>
            </w:r>
          </w:p>
        </w:tc>
        <w:tc>
          <w:tcPr>
            <w:tcW w:w="940" w:type="dxa"/>
            <w:tcBorders>
              <w:top w:val="nil"/>
              <w:left w:val="nil"/>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9"/>
                <w:szCs w:val="19"/>
              </w:rPr>
              <w:t>29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31" w:hRule="atLeast"/>
          <w:jc w:val="center"/>
        </w:trPr>
        <w:tc>
          <w:tcPr>
            <w:tcW w:w="5920" w:type="dxa"/>
            <w:gridSpan w:val="6"/>
            <w:tcBorders>
              <w:top w:val="nil"/>
              <w:left w:val="single" w:color="auto" w:sz="4" w:space="0"/>
              <w:bottom w:val="single" w:color="auto" w:sz="4" w:space="0"/>
              <w:right w:val="single" w:color="auto" w:sz="4" w:space="0"/>
            </w:tcBorders>
            <w:shd w:val="clear" w:color="auto" w:fill="auto"/>
            <w:tcMar>
              <w:left w:w="70" w:type="dxa"/>
              <w:right w:w="7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90" w:lineRule="atLeast"/>
              <w:ind w:left="0" w:right="0" w:firstLine="0"/>
              <w:rPr>
                <w:color w:val="333333"/>
                <w:sz w:val="14"/>
                <w:szCs w:val="14"/>
              </w:rPr>
            </w:pPr>
            <w:r>
              <w:rPr>
                <w:rFonts w:hint="default" w:ascii="仿宋_GB2312" w:eastAsia="仿宋_GB2312" w:cs="仿宋_GB2312"/>
                <w:color w:val="333333"/>
                <w:sz w:val="19"/>
                <w:szCs w:val="19"/>
              </w:rPr>
              <w:t>注：公服用地</w:t>
            </w:r>
            <w:r>
              <w:rPr>
                <w:rFonts w:hint="default" w:ascii="Times New Roman" w:hAnsi="Times New Roman" w:cs="Times New Roman"/>
                <w:color w:val="333333"/>
                <w:sz w:val="19"/>
                <w:szCs w:val="19"/>
              </w:rPr>
              <w:t>Ⅰ</w:t>
            </w:r>
            <w:r>
              <w:rPr>
                <w:rFonts w:hint="default" w:ascii="仿宋_GB2312" w:eastAsia="仿宋_GB2312" w:cs="仿宋_GB2312"/>
                <w:color w:val="333333"/>
                <w:sz w:val="19"/>
                <w:szCs w:val="19"/>
              </w:rPr>
              <w:t>包括：公共设施用地（</w:t>
            </w:r>
            <w:r>
              <w:rPr>
                <w:rFonts w:hint="default" w:ascii="Times New Roman" w:hAnsi="Times New Roman" w:cs="Times New Roman"/>
                <w:color w:val="333333"/>
                <w:sz w:val="19"/>
                <w:szCs w:val="19"/>
              </w:rPr>
              <w:t>0809</w:t>
            </w:r>
            <w:r>
              <w:rPr>
                <w:rFonts w:hint="default" w:ascii="仿宋_GB2312" w:eastAsia="仿宋_GB2312" w:cs="仿宋_GB2312"/>
                <w:color w:val="333333"/>
                <w:sz w:val="19"/>
                <w:szCs w:val="19"/>
              </w:rPr>
              <w:t>）、公园与绿地（</w:t>
            </w:r>
            <w:r>
              <w:rPr>
                <w:rFonts w:hint="default" w:ascii="Times New Roman" w:hAnsi="Times New Roman" w:cs="Times New Roman"/>
                <w:color w:val="333333"/>
                <w:sz w:val="19"/>
                <w:szCs w:val="19"/>
              </w:rPr>
              <w:t>0810</w:t>
            </w:r>
            <w:r>
              <w:rPr>
                <w:rFonts w:hint="default" w:ascii="仿宋_GB2312" w:eastAsia="仿宋_GB2312" w:cs="仿宋_GB2312"/>
                <w:color w:val="333333"/>
                <w:sz w:val="19"/>
                <w:szCs w:val="19"/>
              </w:rPr>
              <w:t>）；公服用地</w:t>
            </w:r>
            <w:r>
              <w:rPr>
                <w:rFonts w:hint="default" w:ascii="Times New Roman" w:hAnsi="Times New Roman" w:cs="Times New Roman"/>
                <w:color w:val="333333"/>
                <w:sz w:val="19"/>
                <w:szCs w:val="19"/>
              </w:rPr>
              <w:t>Ⅱ</w:t>
            </w:r>
            <w:r>
              <w:rPr>
                <w:rFonts w:hint="default" w:ascii="仿宋_GB2312" w:eastAsia="仿宋_GB2312" w:cs="仿宋_GB2312"/>
                <w:color w:val="333333"/>
                <w:sz w:val="19"/>
                <w:szCs w:val="19"/>
              </w:rPr>
              <w:t>包括：机关团体用地（</w:t>
            </w:r>
            <w:r>
              <w:rPr>
                <w:rFonts w:hint="default" w:ascii="Times New Roman" w:hAnsi="Times New Roman" w:cs="Times New Roman"/>
                <w:color w:val="333333"/>
                <w:sz w:val="19"/>
                <w:szCs w:val="19"/>
              </w:rPr>
              <w:t>0801</w:t>
            </w:r>
            <w:r>
              <w:rPr>
                <w:rFonts w:hint="default" w:ascii="仿宋_GB2312" w:eastAsia="仿宋_GB2312" w:cs="仿宋_GB2312"/>
                <w:color w:val="333333"/>
                <w:sz w:val="19"/>
                <w:szCs w:val="19"/>
              </w:rPr>
              <w:t>）、新闻出版用地（</w:t>
            </w:r>
            <w:r>
              <w:rPr>
                <w:rFonts w:hint="default" w:ascii="Times New Roman" w:hAnsi="Times New Roman" w:cs="Times New Roman"/>
                <w:color w:val="333333"/>
                <w:sz w:val="19"/>
                <w:szCs w:val="19"/>
              </w:rPr>
              <w:t>0802</w:t>
            </w:r>
            <w:r>
              <w:rPr>
                <w:rFonts w:hint="default" w:ascii="仿宋_GB2312" w:eastAsia="仿宋_GB2312" w:cs="仿宋_GB2312"/>
                <w:color w:val="333333"/>
                <w:sz w:val="19"/>
                <w:szCs w:val="19"/>
              </w:rPr>
              <w:t>）、教育用地（</w:t>
            </w:r>
            <w:r>
              <w:rPr>
                <w:rFonts w:hint="default" w:ascii="Times New Roman" w:hAnsi="Times New Roman" w:cs="Times New Roman"/>
                <w:color w:val="333333"/>
                <w:sz w:val="19"/>
                <w:szCs w:val="19"/>
              </w:rPr>
              <w:t>0803</w:t>
            </w:r>
            <w:r>
              <w:rPr>
                <w:rFonts w:hint="default" w:ascii="仿宋_GB2312" w:eastAsia="仿宋_GB2312" w:cs="仿宋_GB2312"/>
                <w:color w:val="333333"/>
                <w:sz w:val="19"/>
                <w:szCs w:val="19"/>
              </w:rPr>
              <w:t>）、科研用地（</w:t>
            </w:r>
            <w:r>
              <w:rPr>
                <w:rFonts w:hint="default" w:ascii="Times New Roman" w:hAnsi="Times New Roman" w:cs="Times New Roman"/>
                <w:color w:val="333333"/>
                <w:sz w:val="19"/>
                <w:szCs w:val="19"/>
              </w:rPr>
              <w:t>0804</w:t>
            </w:r>
            <w:r>
              <w:rPr>
                <w:rFonts w:hint="default" w:ascii="仿宋_GB2312" w:eastAsia="仿宋_GB2312" w:cs="仿宋_GB2312"/>
                <w:color w:val="333333"/>
                <w:sz w:val="19"/>
                <w:szCs w:val="19"/>
              </w:rPr>
              <w:t>）、医疗卫生用地（</w:t>
            </w:r>
            <w:r>
              <w:rPr>
                <w:rFonts w:hint="default" w:ascii="Times New Roman" w:hAnsi="Times New Roman" w:cs="Times New Roman"/>
                <w:color w:val="333333"/>
                <w:sz w:val="19"/>
                <w:szCs w:val="19"/>
              </w:rPr>
              <w:t>0805</w:t>
            </w:r>
            <w:r>
              <w:rPr>
                <w:rFonts w:hint="default" w:ascii="仿宋_GB2312" w:eastAsia="仿宋_GB2312" w:cs="仿宋_GB2312"/>
                <w:color w:val="333333"/>
                <w:sz w:val="19"/>
                <w:szCs w:val="19"/>
              </w:rPr>
              <w:t>）、社会福利用地（</w:t>
            </w:r>
            <w:r>
              <w:rPr>
                <w:rFonts w:hint="default" w:ascii="Times New Roman" w:hAnsi="Times New Roman" w:cs="Times New Roman"/>
                <w:color w:val="333333"/>
                <w:sz w:val="19"/>
                <w:szCs w:val="19"/>
              </w:rPr>
              <w:t>0806</w:t>
            </w:r>
            <w:r>
              <w:rPr>
                <w:rFonts w:hint="default" w:ascii="仿宋_GB2312" w:eastAsia="仿宋_GB2312" w:cs="仿宋_GB2312"/>
                <w:color w:val="333333"/>
                <w:sz w:val="19"/>
                <w:szCs w:val="19"/>
              </w:rPr>
              <w:t>）、文体设施用地（</w:t>
            </w:r>
            <w:r>
              <w:rPr>
                <w:rFonts w:hint="default" w:ascii="Times New Roman" w:hAnsi="Times New Roman" w:cs="Times New Roman"/>
                <w:color w:val="333333"/>
                <w:sz w:val="19"/>
                <w:szCs w:val="19"/>
              </w:rPr>
              <w:t>0807</w:t>
            </w:r>
            <w:r>
              <w:rPr>
                <w:rFonts w:hint="default" w:ascii="仿宋_GB2312" w:eastAsia="仿宋_GB2312" w:cs="仿宋_GB2312"/>
                <w:color w:val="333333"/>
                <w:sz w:val="19"/>
                <w:szCs w:val="19"/>
              </w:rPr>
              <w:t>）、体育用地（</w:t>
            </w:r>
            <w:r>
              <w:rPr>
                <w:rFonts w:hint="default" w:ascii="Times New Roman" w:hAnsi="Times New Roman" w:cs="Times New Roman"/>
                <w:color w:val="333333"/>
                <w:sz w:val="19"/>
                <w:szCs w:val="19"/>
              </w:rPr>
              <w:t>0808</w:t>
            </w:r>
            <w:r>
              <w:rPr>
                <w:rFonts w:hint="default" w:ascii="仿宋_GB2312" w:eastAsia="仿宋_GB2312" w:cs="仿宋_GB2312"/>
                <w:color w:val="333333"/>
                <w:sz w:val="19"/>
                <w:szCs w:val="19"/>
              </w:rPr>
              <w:t>）。</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color w:val="333333"/>
          <w:sz w:val="14"/>
          <w:szCs w:val="14"/>
        </w:rPr>
      </w:pPr>
      <w:r>
        <w:rPr>
          <w:rFonts w:hint="default" w:ascii="Times New Roman" w:hAnsi="Times New Roman" w:eastAsia="微软雅黑" w:cs="Times New Roman"/>
          <w:b w:val="0"/>
          <w:i w:val="0"/>
          <w:caps w:val="0"/>
          <w:color w:val="333333"/>
          <w:spacing w:val="0"/>
          <w:sz w:val="21"/>
          <w:szCs w:val="21"/>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b w:val="0"/>
          <w:i w:val="0"/>
          <w:caps w:val="0"/>
          <w:color w:val="333333"/>
          <w:spacing w:val="0"/>
          <w:sz w:val="15"/>
          <w:szCs w:val="15"/>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b w:val="0"/>
          <w:i w:val="0"/>
          <w:caps w:val="0"/>
          <w:color w:val="333333"/>
          <w:spacing w:val="0"/>
          <w:sz w:val="14"/>
          <w:szCs w:val="14"/>
        </w:rPr>
      </w:pPr>
      <w:r>
        <w:rPr>
          <w:rFonts w:hint="eastAsia" w:ascii="黑体" w:hAnsi="宋体" w:eastAsia="黑体" w:cs="黑体"/>
          <w:b w:val="0"/>
          <w:i w:val="0"/>
          <w:caps w:val="0"/>
          <w:color w:val="333333"/>
          <w:spacing w:val="0"/>
          <w:sz w:val="21"/>
          <w:szCs w:val="21"/>
          <w:shd w:val="clear" w:fill="FFFFFF"/>
        </w:rPr>
        <w:t>附件</w:t>
      </w:r>
      <w:r>
        <w:rPr>
          <w:rFonts w:hint="default" w:ascii="Times New Roman" w:hAnsi="Times New Roman" w:eastAsia="微软雅黑" w:cs="Times New Roman"/>
          <w:b w:val="0"/>
          <w:i w:val="0"/>
          <w:caps w:val="0"/>
          <w:color w:val="333333"/>
          <w:spacing w:val="0"/>
          <w:sz w:val="21"/>
          <w:szCs w:val="21"/>
          <w:shd w:val="clear" w:fill="FFFFFF"/>
        </w:rPr>
        <w:t>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宋体" w:hAnsi="宋体" w:eastAsia="宋体" w:cs="宋体"/>
          <w:b w:val="0"/>
          <w:i w:val="0"/>
          <w:caps w:val="0"/>
          <w:color w:val="333333"/>
          <w:spacing w:val="0"/>
          <w:sz w:val="14"/>
          <w:szCs w:val="14"/>
        </w:rPr>
      </w:pPr>
      <w:r>
        <w:rPr>
          <w:rFonts w:hint="eastAsia" w:ascii="宋体" w:hAnsi="宋体" w:eastAsia="宋体" w:cs="宋体"/>
          <w:b w:val="0"/>
          <w:i w:val="0"/>
          <w:caps w:val="0"/>
          <w:color w:val="333333"/>
          <w:spacing w:val="0"/>
          <w:sz w:val="29"/>
          <w:szCs w:val="29"/>
          <w:shd w:val="clear" w:fill="FFFFFF"/>
        </w:rPr>
        <w:t>肥城市建制镇基准地价表</w:t>
      </w:r>
    </w:p>
    <w:tbl>
      <w:tblPr>
        <w:tblStyle w:val="8"/>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60"/>
        <w:gridCol w:w="600"/>
        <w:gridCol w:w="470"/>
        <w:gridCol w:w="560"/>
        <w:gridCol w:w="450"/>
        <w:gridCol w:w="520"/>
        <w:gridCol w:w="520"/>
        <w:gridCol w:w="550"/>
        <w:gridCol w:w="490"/>
        <w:gridCol w:w="530"/>
        <w:gridCol w:w="440"/>
        <w:gridCol w:w="510"/>
      </w:tblGrid>
      <w:tr>
        <w:tblPrEx>
          <w:shd w:val="clear" w:color="auto" w:fill="auto"/>
          <w:tblCellMar>
            <w:top w:w="0" w:type="dxa"/>
            <w:left w:w="0" w:type="dxa"/>
            <w:bottom w:w="0" w:type="dxa"/>
            <w:right w:w="0" w:type="dxa"/>
          </w:tblCellMar>
        </w:tblPrEx>
        <w:trPr>
          <w:trHeight w:val="380" w:hRule="atLeast"/>
          <w:jc w:val="center"/>
        </w:trPr>
        <w:tc>
          <w:tcPr>
            <w:tcW w:w="660" w:type="dxa"/>
            <w:vMerge w:val="restart"/>
            <w:tcBorders>
              <w:top w:val="single" w:color="auto" w:sz="4" w:space="0"/>
              <w:left w:val="single" w:color="auto" w:sz="4" w:space="0"/>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eastAsia" w:ascii="黑体" w:hAnsi="宋体" w:eastAsia="黑体" w:cs="黑体"/>
                <w:color w:val="333333"/>
                <w:sz w:val="14"/>
                <w:szCs w:val="14"/>
              </w:rPr>
              <w:t>建制镇</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eastAsia" w:ascii="黑体" w:hAnsi="宋体" w:eastAsia="黑体" w:cs="黑体"/>
                <w:color w:val="333333"/>
                <w:sz w:val="14"/>
                <w:szCs w:val="14"/>
              </w:rPr>
              <w:t>名称</w:t>
            </w:r>
          </w:p>
        </w:tc>
        <w:tc>
          <w:tcPr>
            <w:tcW w:w="600" w:type="dxa"/>
            <w:vMerge w:val="restart"/>
            <w:tcBorders>
              <w:top w:val="single" w:color="auto" w:sz="4" w:space="0"/>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140"/>
              <w:rPr>
                <w:color w:val="333333"/>
                <w:sz w:val="14"/>
                <w:szCs w:val="14"/>
              </w:rPr>
            </w:pPr>
            <w:r>
              <w:rPr>
                <w:rFonts w:hint="eastAsia" w:ascii="黑体" w:hAnsi="宋体" w:eastAsia="黑体" w:cs="黑体"/>
                <w:color w:val="333333"/>
                <w:sz w:val="14"/>
                <w:szCs w:val="14"/>
              </w:rPr>
              <w:t>用途</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140"/>
              <w:rPr>
                <w:color w:val="333333"/>
                <w:sz w:val="14"/>
                <w:szCs w:val="14"/>
              </w:rPr>
            </w:pPr>
            <w:r>
              <w:rPr>
                <w:rFonts w:hint="eastAsia" w:ascii="黑体" w:hAnsi="宋体" w:eastAsia="黑体" w:cs="黑体"/>
                <w:color w:val="333333"/>
                <w:sz w:val="14"/>
                <w:szCs w:val="14"/>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color w:val="333333"/>
                <w:sz w:val="14"/>
                <w:szCs w:val="14"/>
              </w:rPr>
            </w:pPr>
            <w:r>
              <w:rPr>
                <w:rFonts w:hint="eastAsia" w:ascii="黑体" w:hAnsi="宋体" w:eastAsia="黑体" w:cs="黑体"/>
                <w:color w:val="333333"/>
                <w:sz w:val="14"/>
                <w:szCs w:val="14"/>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rPr>
                <w:color w:val="333333"/>
                <w:sz w:val="14"/>
                <w:szCs w:val="14"/>
              </w:rPr>
            </w:pPr>
            <w:r>
              <w:rPr>
                <w:rFonts w:hint="eastAsia" w:ascii="黑体" w:hAnsi="宋体" w:eastAsia="黑体" w:cs="黑体"/>
                <w:color w:val="333333"/>
                <w:sz w:val="14"/>
                <w:szCs w:val="14"/>
              </w:rPr>
              <w:t>级别</w:t>
            </w:r>
          </w:p>
        </w:tc>
        <w:tc>
          <w:tcPr>
            <w:tcW w:w="1030" w:type="dxa"/>
            <w:gridSpan w:val="2"/>
            <w:tcBorders>
              <w:top w:val="single" w:color="auto" w:sz="4" w:space="0"/>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eastAsia" w:ascii="黑体" w:hAnsi="宋体" w:eastAsia="黑体" w:cs="黑体"/>
                <w:color w:val="333333"/>
                <w:sz w:val="14"/>
                <w:szCs w:val="14"/>
              </w:rPr>
              <w:t>商服</w:t>
            </w:r>
          </w:p>
        </w:tc>
        <w:tc>
          <w:tcPr>
            <w:tcW w:w="970" w:type="dxa"/>
            <w:gridSpan w:val="2"/>
            <w:tcBorders>
              <w:top w:val="single" w:color="auto" w:sz="4" w:space="0"/>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eastAsia" w:ascii="黑体" w:hAnsi="宋体" w:eastAsia="黑体" w:cs="黑体"/>
                <w:color w:val="333333"/>
                <w:sz w:val="14"/>
                <w:szCs w:val="14"/>
              </w:rPr>
              <w:t>住宅</w:t>
            </w:r>
          </w:p>
        </w:tc>
        <w:tc>
          <w:tcPr>
            <w:tcW w:w="1070" w:type="dxa"/>
            <w:gridSpan w:val="2"/>
            <w:tcBorders>
              <w:top w:val="single" w:color="auto" w:sz="4" w:space="0"/>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eastAsia" w:ascii="黑体" w:hAnsi="宋体" w:eastAsia="黑体" w:cs="黑体"/>
                <w:color w:val="333333"/>
                <w:sz w:val="14"/>
                <w:szCs w:val="14"/>
              </w:rPr>
              <w:t>工矿仓储</w:t>
            </w:r>
          </w:p>
        </w:tc>
        <w:tc>
          <w:tcPr>
            <w:tcW w:w="1020" w:type="dxa"/>
            <w:gridSpan w:val="2"/>
            <w:tcBorders>
              <w:top w:val="single" w:color="auto" w:sz="4" w:space="0"/>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eastAsia" w:ascii="黑体" w:hAnsi="宋体" w:eastAsia="黑体" w:cs="黑体"/>
                <w:color w:val="333333"/>
                <w:sz w:val="14"/>
                <w:szCs w:val="14"/>
              </w:rPr>
              <w:t>公服用地Ⅰ</w:t>
            </w:r>
          </w:p>
        </w:tc>
        <w:tc>
          <w:tcPr>
            <w:tcW w:w="940" w:type="dxa"/>
            <w:gridSpan w:val="2"/>
            <w:tcBorders>
              <w:top w:val="single" w:color="auto" w:sz="4" w:space="0"/>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eastAsia" w:ascii="黑体" w:hAnsi="宋体" w:eastAsia="黑体" w:cs="黑体"/>
                <w:color w:val="333333"/>
                <w:sz w:val="14"/>
                <w:szCs w:val="14"/>
              </w:rPr>
              <w:t>公服用地Ⅱ</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0" w:hRule="atLeast"/>
          <w:jc w:val="center"/>
        </w:trPr>
        <w:tc>
          <w:tcPr>
            <w:tcW w:w="660" w:type="dxa"/>
            <w:vMerge w:val="continue"/>
            <w:tcBorders>
              <w:top w:val="single" w:color="auto" w:sz="4" w:space="0"/>
              <w:left w:val="single" w:color="auto" w:sz="4" w:space="0"/>
              <w:bottom w:val="single" w:color="auto" w:sz="4" w:space="0"/>
              <w:right w:val="single" w:color="auto" w:sz="4" w:space="0"/>
            </w:tcBorders>
            <w:shd w:val="clear" w:color="auto" w:fill="auto"/>
            <w:tcMar>
              <w:left w:w="40" w:type="dxa"/>
              <w:right w:w="40" w:type="dxa"/>
            </w:tcMar>
            <w:vAlign w:val="center"/>
          </w:tcPr>
          <w:p>
            <w:pPr>
              <w:rPr>
                <w:rFonts w:hint="eastAsia" w:ascii="宋体"/>
                <w:sz w:val="24"/>
                <w:szCs w:val="24"/>
              </w:rPr>
            </w:pPr>
          </w:p>
        </w:tc>
        <w:tc>
          <w:tcPr>
            <w:tcW w:w="600" w:type="dxa"/>
            <w:vMerge w:val="continue"/>
            <w:tcBorders>
              <w:top w:val="single" w:color="auto" w:sz="4" w:space="0"/>
              <w:left w:val="nil"/>
              <w:bottom w:val="single" w:color="auto" w:sz="4" w:space="0"/>
              <w:right w:val="single" w:color="auto" w:sz="4" w:space="0"/>
            </w:tcBorders>
            <w:shd w:val="clear" w:color="auto" w:fill="auto"/>
            <w:tcMar>
              <w:left w:w="40" w:type="dxa"/>
              <w:right w:w="40" w:type="dxa"/>
            </w:tcMar>
            <w:vAlign w:val="center"/>
          </w:tcPr>
          <w:p>
            <w:pPr>
              <w:rPr>
                <w:rFonts w:hint="eastAsia" w:ascii="宋体"/>
                <w:sz w:val="24"/>
                <w:szCs w:val="24"/>
              </w:rPr>
            </w:pPr>
          </w:p>
        </w:tc>
        <w:tc>
          <w:tcPr>
            <w:tcW w:w="47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eastAsia" w:ascii="黑体" w:hAnsi="宋体" w:eastAsia="黑体" w:cs="黑体"/>
                <w:color w:val="333333"/>
                <w:sz w:val="14"/>
                <w:szCs w:val="14"/>
              </w:rPr>
              <w:t>元/平方米</w:t>
            </w:r>
          </w:p>
        </w:tc>
        <w:tc>
          <w:tcPr>
            <w:tcW w:w="56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eastAsia" w:ascii="黑体" w:hAnsi="宋体" w:eastAsia="黑体" w:cs="黑体"/>
                <w:color w:val="333333"/>
                <w:sz w:val="14"/>
                <w:szCs w:val="14"/>
              </w:rPr>
              <w:t>万元/亩</w:t>
            </w:r>
          </w:p>
        </w:tc>
        <w:tc>
          <w:tcPr>
            <w:tcW w:w="45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eastAsia" w:ascii="黑体" w:hAnsi="宋体" w:eastAsia="黑体" w:cs="黑体"/>
                <w:color w:val="333333"/>
                <w:sz w:val="14"/>
                <w:szCs w:val="14"/>
              </w:rPr>
              <w:t>元/平方米</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eastAsia" w:ascii="黑体" w:hAnsi="宋体" w:eastAsia="黑体" w:cs="黑体"/>
                <w:color w:val="333333"/>
                <w:sz w:val="14"/>
                <w:szCs w:val="14"/>
              </w:rPr>
              <w:t>万元/亩</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eastAsia" w:ascii="黑体" w:hAnsi="宋体" w:eastAsia="黑体" w:cs="黑体"/>
                <w:color w:val="333333"/>
                <w:sz w:val="14"/>
                <w:szCs w:val="14"/>
              </w:rPr>
              <w:t>元/平方米</w:t>
            </w:r>
          </w:p>
        </w:tc>
        <w:tc>
          <w:tcPr>
            <w:tcW w:w="5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eastAsia" w:ascii="黑体" w:hAnsi="宋体" w:eastAsia="黑体" w:cs="黑体"/>
                <w:color w:val="333333"/>
                <w:sz w:val="14"/>
                <w:szCs w:val="14"/>
              </w:rPr>
              <w:t>万元/亩</w:t>
            </w:r>
          </w:p>
        </w:tc>
        <w:tc>
          <w:tcPr>
            <w:tcW w:w="49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eastAsia" w:ascii="黑体" w:hAnsi="宋体" w:eastAsia="黑体" w:cs="黑体"/>
                <w:color w:val="333333"/>
                <w:sz w:val="14"/>
                <w:szCs w:val="14"/>
              </w:rPr>
              <w:t>元/平方米</w:t>
            </w:r>
          </w:p>
        </w:tc>
        <w:tc>
          <w:tcPr>
            <w:tcW w:w="53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eastAsia" w:ascii="黑体" w:hAnsi="宋体" w:eastAsia="黑体" w:cs="黑体"/>
                <w:color w:val="333333"/>
                <w:sz w:val="14"/>
                <w:szCs w:val="14"/>
              </w:rPr>
              <w:t>万元/亩</w:t>
            </w:r>
          </w:p>
        </w:tc>
        <w:tc>
          <w:tcPr>
            <w:tcW w:w="4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eastAsia" w:ascii="黑体" w:hAnsi="宋体" w:eastAsia="黑体" w:cs="黑体"/>
                <w:color w:val="333333"/>
                <w:sz w:val="14"/>
                <w:szCs w:val="14"/>
              </w:rPr>
              <w:t>元/平方米</w:t>
            </w:r>
          </w:p>
        </w:tc>
        <w:tc>
          <w:tcPr>
            <w:tcW w:w="5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eastAsia" w:ascii="黑体" w:hAnsi="宋体" w:eastAsia="黑体" w:cs="黑体"/>
                <w:color w:val="333333"/>
                <w:sz w:val="14"/>
                <w:szCs w:val="14"/>
              </w:rPr>
              <w:t>万元/亩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jc w:val="center"/>
        </w:trPr>
        <w:tc>
          <w:tcPr>
            <w:tcW w:w="660" w:type="dxa"/>
            <w:vMerge w:val="restart"/>
            <w:tcBorders>
              <w:top w:val="nil"/>
              <w:left w:val="single" w:color="auto" w:sz="4" w:space="0"/>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4"/>
                <w:szCs w:val="14"/>
              </w:rPr>
              <w:t>石横镇</w:t>
            </w:r>
          </w:p>
        </w:tc>
        <w:tc>
          <w:tcPr>
            <w:tcW w:w="6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4"/>
                <w:szCs w:val="14"/>
              </w:rPr>
              <w:t>一级</w:t>
            </w:r>
          </w:p>
        </w:tc>
        <w:tc>
          <w:tcPr>
            <w:tcW w:w="47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452</w:t>
            </w:r>
          </w:p>
        </w:tc>
        <w:tc>
          <w:tcPr>
            <w:tcW w:w="56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30.13</w:t>
            </w:r>
          </w:p>
        </w:tc>
        <w:tc>
          <w:tcPr>
            <w:tcW w:w="45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425</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28.3</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254</w:t>
            </w:r>
          </w:p>
        </w:tc>
        <w:tc>
          <w:tcPr>
            <w:tcW w:w="5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16.9</w:t>
            </w:r>
          </w:p>
        </w:tc>
        <w:tc>
          <w:tcPr>
            <w:tcW w:w="49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363</w:t>
            </w:r>
          </w:p>
        </w:tc>
        <w:tc>
          <w:tcPr>
            <w:tcW w:w="53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24.2</w:t>
            </w:r>
          </w:p>
        </w:tc>
        <w:tc>
          <w:tcPr>
            <w:tcW w:w="4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415</w:t>
            </w:r>
          </w:p>
        </w:tc>
        <w:tc>
          <w:tcPr>
            <w:tcW w:w="5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27.67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jc w:val="center"/>
        </w:trPr>
        <w:tc>
          <w:tcPr>
            <w:tcW w:w="660" w:type="dxa"/>
            <w:vMerge w:val="continue"/>
            <w:tcBorders>
              <w:top w:val="nil"/>
              <w:left w:val="single" w:color="auto" w:sz="4" w:space="0"/>
              <w:bottom w:val="single" w:color="auto" w:sz="4" w:space="0"/>
              <w:right w:val="single" w:color="auto" w:sz="4" w:space="0"/>
            </w:tcBorders>
            <w:shd w:val="clear" w:color="auto" w:fill="auto"/>
            <w:tcMar>
              <w:left w:w="40" w:type="dxa"/>
              <w:right w:w="40" w:type="dxa"/>
            </w:tcMar>
            <w:vAlign w:val="center"/>
          </w:tcPr>
          <w:p>
            <w:pPr>
              <w:rPr>
                <w:rFonts w:hint="eastAsia" w:ascii="宋体"/>
                <w:sz w:val="24"/>
                <w:szCs w:val="24"/>
              </w:rPr>
            </w:pPr>
          </w:p>
        </w:tc>
        <w:tc>
          <w:tcPr>
            <w:tcW w:w="6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4"/>
                <w:szCs w:val="14"/>
              </w:rPr>
              <w:t>二级</w:t>
            </w:r>
          </w:p>
        </w:tc>
        <w:tc>
          <w:tcPr>
            <w:tcW w:w="47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359</w:t>
            </w:r>
          </w:p>
        </w:tc>
        <w:tc>
          <w:tcPr>
            <w:tcW w:w="56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23.9</w:t>
            </w:r>
          </w:p>
        </w:tc>
        <w:tc>
          <w:tcPr>
            <w:tcW w:w="45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360</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24</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242</w:t>
            </w:r>
          </w:p>
        </w:tc>
        <w:tc>
          <w:tcPr>
            <w:tcW w:w="5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16.1</w:t>
            </w:r>
          </w:p>
        </w:tc>
        <w:tc>
          <w:tcPr>
            <w:tcW w:w="49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346</w:t>
            </w:r>
          </w:p>
        </w:tc>
        <w:tc>
          <w:tcPr>
            <w:tcW w:w="53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23.07</w:t>
            </w:r>
          </w:p>
        </w:tc>
        <w:tc>
          <w:tcPr>
            <w:tcW w:w="4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395</w:t>
            </w:r>
          </w:p>
        </w:tc>
        <w:tc>
          <w:tcPr>
            <w:tcW w:w="5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26.33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660" w:type="dxa"/>
            <w:vMerge w:val="restart"/>
            <w:tcBorders>
              <w:top w:val="nil"/>
              <w:left w:val="single" w:color="auto" w:sz="4" w:space="0"/>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4"/>
                <w:szCs w:val="14"/>
              </w:rPr>
              <w:t>桃园镇</w:t>
            </w:r>
          </w:p>
        </w:tc>
        <w:tc>
          <w:tcPr>
            <w:tcW w:w="6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4"/>
                <w:szCs w:val="14"/>
              </w:rPr>
              <w:t>一级</w:t>
            </w:r>
          </w:p>
        </w:tc>
        <w:tc>
          <w:tcPr>
            <w:tcW w:w="47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396</w:t>
            </w:r>
          </w:p>
        </w:tc>
        <w:tc>
          <w:tcPr>
            <w:tcW w:w="56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26.37</w:t>
            </w:r>
          </w:p>
        </w:tc>
        <w:tc>
          <w:tcPr>
            <w:tcW w:w="45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401</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26.7</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248</w:t>
            </w:r>
          </w:p>
        </w:tc>
        <w:tc>
          <w:tcPr>
            <w:tcW w:w="5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16.5</w:t>
            </w:r>
          </w:p>
        </w:tc>
        <w:tc>
          <w:tcPr>
            <w:tcW w:w="49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354</w:t>
            </w:r>
          </w:p>
        </w:tc>
        <w:tc>
          <w:tcPr>
            <w:tcW w:w="53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23.6</w:t>
            </w:r>
          </w:p>
        </w:tc>
        <w:tc>
          <w:tcPr>
            <w:tcW w:w="4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404</w:t>
            </w:r>
          </w:p>
        </w:tc>
        <w:tc>
          <w:tcPr>
            <w:tcW w:w="5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26.93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660" w:type="dxa"/>
            <w:vMerge w:val="continue"/>
            <w:tcBorders>
              <w:top w:val="nil"/>
              <w:left w:val="single" w:color="auto" w:sz="4" w:space="0"/>
              <w:bottom w:val="single" w:color="auto" w:sz="4" w:space="0"/>
              <w:right w:val="single" w:color="auto" w:sz="4" w:space="0"/>
            </w:tcBorders>
            <w:shd w:val="clear" w:color="auto" w:fill="auto"/>
            <w:tcMar>
              <w:left w:w="40" w:type="dxa"/>
              <w:right w:w="40" w:type="dxa"/>
            </w:tcMar>
            <w:vAlign w:val="center"/>
          </w:tcPr>
          <w:p>
            <w:pPr>
              <w:rPr>
                <w:rFonts w:hint="eastAsia" w:ascii="宋体"/>
                <w:sz w:val="24"/>
                <w:szCs w:val="24"/>
              </w:rPr>
            </w:pPr>
          </w:p>
        </w:tc>
        <w:tc>
          <w:tcPr>
            <w:tcW w:w="6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4"/>
                <w:szCs w:val="14"/>
              </w:rPr>
              <w:t>二级</w:t>
            </w:r>
          </w:p>
        </w:tc>
        <w:tc>
          <w:tcPr>
            <w:tcW w:w="47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338</w:t>
            </w:r>
          </w:p>
        </w:tc>
        <w:tc>
          <w:tcPr>
            <w:tcW w:w="56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22.5</w:t>
            </w:r>
          </w:p>
        </w:tc>
        <w:tc>
          <w:tcPr>
            <w:tcW w:w="45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375</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25</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225</w:t>
            </w:r>
          </w:p>
        </w:tc>
        <w:tc>
          <w:tcPr>
            <w:tcW w:w="5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15</w:t>
            </w:r>
          </w:p>
        </w:tc>
        <w:tc>
          <w:tcPr>
            <w:tcW w:w="49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322</w:t>
            </w:r>
          </w:p>
        </w:tc>
        <w:tc>
          <w:tcPr>
            <w:tcW w:w="53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21.47</w:t>
            </w:r>
          </w:p>
        </w:tc>
        <w:tc>
          <w:tcPr>
            <w:tcW w:w="4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368</w:t>
            </w:r>
          </w:p>
        </w:tc>
        <w:tc>
          <w:tcPr>
            <w:tcW w:w="5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24.53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jc w:val="center"/>
        </w:trPr>
        <w:tc>
          <w:tcPr>
            <w:tcW w:w="660" w:type="dxa"/>
            <w:vMerge w:val="restart"/>
            <w:tcBorders>
              <w:top w:val="nil"/>
              <w:left w:val="single" w:color="auto" w:sz="4" w:space="0"/>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4"/>
                <w:szCs w:val="14"/>
              </w:rPr>
              <w:t>安驾庄镇</w:t>
            </w:r>
          </w:p>
        </w:tc>
        <w:tc>
          <w:tcPr>
            <w:tcW w:w="6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4"/>
                <w:szCs w:val="14"/>
              </w:rPr>
              <w:t>一级</w:t>
            </w:r>
          </w:p>
        </w:tc>
        <w:tc>
          <w:tcPr>
            <w:tcW w:w="47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428</w:t>
            </w:r>
          </w:p>
        </w:tc>
        <w:tc>
          <w:tcPr>
            <w:tcW w:w="56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28.5</w:t>
            </w:r>
          </w:p>
        </w:tc>
        <w:tc>
          <w:tcPr>
            <w:tcW w:w="45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410</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27.33</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252</w:t>
            </w:r>
          </w:p>
        </w:tc>
        <w:tc>
          <w:tcPr>
            <w:tcW w:w="5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16.8</w:t>
            </w:r>
          </w:p>
        </w:tc>
        <w:tc>
          <w:tcPr>
            <w:tcW w:w="49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357</w:t>
            </w:r>
          </w:p>
        </w:tc>
        <w:tc>
          <w:tcPr>
            <w:tcW w:w="53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23.8</w:t>
            </w:r>
          </w:p>
        </w:tc>
        <w:tc>
          <w:tcPr>
            <w:tcW w:w="4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408</w:t>
            </w:r>
          </w:p>
        </w:tc>
        <w:tc>
          <w:tcPr>
            <w:tcW w:w="5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27.2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660" w:type="dxa"/>
            <w:vMerge w:val="continue"/>
            <w:tcBorders>
              <w:top w:val="nil"/>
              <w:left w:val="single" w:color="auto" w:sz="4" w:space="0"/>
              <w:bottom w:val="single" w:color="auto" w:sz="4" w:space="0"/>
              <w:right w:val="single" w:color="auto" w:sz="4" w:space="0"/>
            </w:tcBorders>
            <w:shd w:val="clear" w:color="auto" w:fill="auto"/>
            <w:tcMar>
              <w:left w:w="40" w:type="dxa"/>
              <w:right w:w="40" w:type="dxa"/>
            </w:tcMar>
            <w:vAlign w:val="center"/>
          </w:tcPr>
          <w:p>
            <w:pPr>
              <w:rPr>
                <w:rFonts w:hint="eastAsia" w:ascii="宋体"/>
                <w:sz w:val="24"/>
                <w:szCs w:val="24"/>
              </w:rPr>
            </w:pPr>
          </w:p>
        </w:tc>
        <w:tc>
          <w:tcPr>
            <w:tcW w:w="6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4"/>
                <w:szCs w:val="14"/>
              </w:rPr>
              <w:t>二级</w:t>
            </w:r>
          </w:p>
        </w:tc>
        <w:tc>
          <w:tcPr>
            <w:tcW w:w="47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360</w:t>
            </w:r>
          </w:p>
        </w:tc>
        <w:tc>
          <w:tcPr>
            <w:tcW w:w="56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24.03</w:t>
            </w:r>
          </w:p>
        </w:tc>
        <w:tc>
          <w:tcPr>
            <w:tcW w:w="45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359</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23.93</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236</w:t>
            </w:r>
          </w:p>
        </w:tc>
        <w:tc>
          <w:tcPr>
            <w:tcW w:w="5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15.75</w:t>
            </w:r>
          </w:p>
        </w:tc>
        <w:tc>
          <w:tcPr>
            <w:tcW w:w="49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335</w:t>
            </w:r>
          </w:p>
        </w:tc>
        <w:tc>
          <w:tcPr>
            <w:tcW w:w="53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22.33</w:t>
            </w:r>
          </w:p>
        </w:tc>
        <w:tc>
          <w:tcPr>
            <w:tcW w:w="4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383</w:t>
            </w:r>
          </w:p>
        </w:tc>
        <w:tc>
          <w:tcPr>
            <w:tcW w:w="5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25.53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jc w:val="center"/>
        </w:trPr>
        <w:tc>
          <w:tcPr>
            <w:tcW w:w="660" w:type="dxa"/>
            <w:vMerge w:val="restart"/>
            <w:tcBorders>
              <w:top w:val="nil"/>
              <w:left w:val="single" w:color="auto" w:sz="4" w:space="0"/>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4"/>
                <w:szCs w:val="14"/>
              </w:rPr>
              <w:t>潮泉镇</w:t>
            </w:r>
          </w:p>
        </w:tc>
        <w:tc>
          <w:tcPr>
            <w:tcW w:w="6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4"/>
                <w:szCs w:val="14"/>
              </w:rPr>
              <w:t>一级</w:t>
            </w:r>
          </w:p>
        </w:tc>
        <w:tc>
          <w:tcPr>
            <w:tcW w:w="47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390</w:t>
            </w:r>
          </w:p>
        </w:tc>
        <w:tc>
          <w:tcPr>
            <w:tcW w:w="56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26.03</w:t>
            </w:r>
          </w:p>
        </w:tc>
        <w:tc>
          <w:tcPr>
            <w:tcW w:w="45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367</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24.47</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245</w:t>
            </w:r>
          </w:p>
        </w:tc>
        <w:tc>
          <w:tcPr>
            <w:tcW w:w="5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16.33</w:t>
            </w:r>
          </w:p>
        </w:tc>
        <w:tc>
          <w:tcPr>
            <w:tcW w:w="49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345</w:t>
            </w:r>
          </w:p>
        </w:tc>
        <w:tc>
          <w:tcPr>
            <w:tcW w:w="53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23</w:t>
            </w:r>
          </w:p>
        </w:tc>
        <w:tc>
          <w:tcPr>
            <w:tcW w:w="4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394</w:t>
            </w:r>
          </w:p>
        </w:tc>
        <w:tc>
          <w:tcPr>
            <w:tcW w:w="5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26.27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jc w:val="center"/>
        </w:trPr>
        <w:tc>
          <w:tcPr>
            <w:tcW w:w="660" w:type="dxa"/>
            <w:vMerge w:val="continue"/>
            <w:tcBorders>
              <w:top w:val="nil"/>
              <w:left w:val="single" w:color="auto" w:sz="4" w:space="0"/>
              <w:bottom w:val="single" w:color="auto" w:sz="4" w:space="0"/>
              <w:right w:val="single" w:color="auto" w:sz="4" w:space="0"/>
            </w:tcBorders>
            <w:shd w:val="clear" w:color="auto" w:fill="auto"/>
            <w:tcMar>
              <w:left w:w="40" w:type="dxa"/>
              <w:right w:w="40" w:type="dxa"/>
            </w:tcMar>
            <w:vAlign w:val="center"/>
          </w:tcPr>
          <w:p>
            <w:pPr>
              <w:rPr>
                <w:rFonts w:hint="eastAsia" w:ascii="宋体"/>
                <w:sz w:val="24"/>
                <w:szCs w:val="24"/>
              </w:rPr>
            </w:pPr>
          </w:p>
        </w:tc>
        <w:tc>
          <w:tcPr>
            <w:tcW w:w="6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4"/>
                <w:szCs w:val="14"/>
              </w:rPr>
              <w:t>二级</w:t>
            </w:r>
          </w:p>
        </w:tc>
        <w:tc>
          <w:tcPr>
            <w:tcW w:w="47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335</w:t>
            </w:r>
          </w:p>
        </w:tc>
        <w:tc>
          <w:tcPr>
            <w:tcW w:w="56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22.32</w:t>
            </w:r>
          </w:p>
        </w:tc>
        <w:tc>
          <w:tcPr>
            <w:tcW w:w="45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341</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22.73</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225</w:t>
            </w:r>
          </w:p>
        </w:tc>
        <w:tc>
          <w:tcPr>
            <w:tcW w:w="5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15</w:t>
            </w:r>
          </w:p>
        </w:tc>
        <w:tc>
          <w:tcPr>
            <w:tcW w:w="49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319</w:t>
            </w:r>
          </w:p>
        </w:tc>
        <w:tc>
          <w:tcPr>
            <w:tcW w:w="53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21.27</w:t>
            </w:r>
          </w:p>
        </w:tc>
        <w:tc>
          <w:tcPr>
            <w:tcW w:w="4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365</w:t>
            </w:r>
          </w:p>
        </w:tc>
        <w:tc>
          <w:tcPr>
            <w:tcW w:w="5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24.33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jc w:val="center"/>
        </w:trPr>
        <w:tc>
          <w:tcPr>
            <w:tcW w:w="660" w:type="dxa"/>
            <w:vMerge w:val="restart"/>
            <w:tcBorders>
              <w:top w:val="nil"/>
              <w:left w:val="single" w:color="auto" w:sz="4" w:space="0"/>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4"/>
                <w:szCs w:val="14"/>
              </w:rPr>
              <w:t>湖屯镇</w:t>
            </w:r>
          </w:p>
        </w:tc>
        <w:tc>
          <w:tcPr>
            <w:tcW w:w="6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4"/>
                <w:szCs w:val="14"/>
              </w:rPr>
              <w:t>一级</w:t>
            </w:r>
          </w:p>
        </w:tc>
        <w:tc>
          <w:tcPr>
            <w:tcW w:w="47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416</w:t>
            </w:r>
          </w:p>
        </w:tc>
        <w:tc>
          <w:tcPr>
            <w:tcW w:w="56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27.7</w:t>
            </w:r>
          </w:p>
        </w:tc>
        <w:tc>
          <w:tcPr>
            <w:tcW w:w="45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420</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28</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251</w:t>
            </w:r>
          </w:p>
        </w:tc>
        <w:tc>
          <w:tcPr>
            <w:tcW w:w="5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16.73</w:t>
            </w:r>
          </w:p>
        </w:tc>
        <w:tc>
          <w:tcPr>
            <w:tcW w:w="49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354</w:t>
            </w:r>
          </w:p>
        </w:tc>
        <w:tc>
          <w:tcPr>
            <w:tcW w:w="53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23.6</w:t>
            </w:r>
          </w:p>
        </w:tc>
        <w:tc>
          <w:tcPr>
            <w:tcW w:w="4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405</w:t>
            </w:r>
          </w:p>
        </w:tc>
        <w:tc>
          <w:tcPr>
            <w:tcW w:w="5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660" w:type="dxa"/>
            <w:vMerge w:val="continue"/>
            <w:tcBorders>
              <w:top w:val="nil"/>
              <w:left w:val="single" w:color="auto" w:sz="4" w:space="0"/>
              <w:bottom w:val="single" w:color="auto" w:sz="4" w:space="0"/>
              <w:right w:val="single" w:color="auto" w:sz="4" w:space="0"/>
            </w:tcBorders>
            <w:shd w:val="clear" w:color="auto" w:fill="auto"/>
            <w:tcMar>
              <w:left w:w="40" w:type="dxa"/>
              <w:right w:w="40" w:type="dxa"/>
            </w:tcMar>
            <w:vAlign w:val="center"/>
          </w:tcPr>
          <w:p>
            <w:pPr>
              <w:rPr>
                <w:rFonts w:hint="eastAsia" w:ascii="宋体"/>
                <w:sz w:val="24"/>
                <w:szCs w:val="24"/>
              </w:rPr>
            </w:pPr>
          </w:p>
        </w:tc>
        <w:tc>
          <w:tcPr>
            <w:tcW w:w="6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4"/>
                <w:szCs w:val="14"/>
              </w:rPr>
              <w:t>二级</w:t>
            </w:r>
          </w:p>
        </w:tc>
        <w:tc>
          <w:tcPr>
            <w:tcW w:w="47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348</w:t>
            </w:r>
          </w:p>
        </w:tc>
        <w:tc>
          <w:tcPr>
            <w:tcW w:w="56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23.23</w:t>
            </w:r>
          </w:p>
        </w:tc>
        <w:tc>
          <w:tcPr>
            <w:tcW w:w="45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368</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24.5</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236</w:t>
            </w:r>
          </w:p>
        </w:tc>
        <w:tc>
          <w:tcPr>
            <w:tcW w:w="5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15.75</w:t>
            </w:r>
          </w:p>
        </w:tc>
        <w:tc>
          <w:tcPr>
            <w:tcW w:w="49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334</w:t>
            </w:r>
          </w:p>
        </w:tc>
        <w:tc>
          <w:tcPr>
            <w:tcW w:w="53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22.27</w:t>
            </w:r>
          </w:p>
        </w:tc>
        <w:tc>
          <w:tcPr>
            <w:tcW w:w="4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382</w:t>
            </w:r>
          </w:p>
        </w:tc>
        <w:tc>
          <w:tcPr>
            <w:tcW w:w="5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25.47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660" w:type="dxa"/>
            <w:vMerge w:val="restart"/>
            <w:tcBorders>
              <w:top w:val="nil"/>
              <w:left w:val="single" w:color="auto" w:sz="4" w:space="0"/>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4"/>
                <w:szCs w:val="14"/>
              </w:rPr>
              <w:t>边院镇</w:t>
            </w:r>
          </w:p>
        </w:tc>
        <w:tc>
          <w:tcPr>
            <w:tcW w:w="6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4"/>
                <w:szCs w:val="14"/>
              </w:rPr>
              <w:t>一级</w:t>
            </w:r>
          </w:p>
        </w:tc>
        <w:tc>
          <w:tcPr>
            <w:tcW w:w="47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409</w:t>
            </w:r>
          </w:p>
        </w:tc>
        <w:tc>
          <w:tcPr>
            <w:tcW w:w="56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27.25</w:t>
            </w:r>
          </w:p>
        </w:tc>
        <w:tc>
          <w:tcPr>
            <w:tcW w:w="45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404</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26.95</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251</w:t>
            </w:r>
          </w:p>
        </w:tc>
        <w:tc>
          <w:tcPr>
            <w:tcW w:w="5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16.7</w:t>
            </w:r>
          </w:p>
        </w:tc>
        <w:tc>
          <w:tcPr>
            <w:tcW w:w="49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354</w:t>
            </w:r>
          </w:p>
        </w:tc>
        <w:tc>
          <w:tcPr>
            <w:tcW w:w="53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23.6</w:t>
            </w:r>
          </w:p>
        </w:tc>
        <w:tc>
          <w:tcPr>
            <w:tcW w:w="4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405</w:t>
            </w:r>
          </w:p>
        </w:tc>
        <w:tc>
          <w:tcPr>
            <w:tcW w:w="5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jc w:val="center"/>
        </w:trPr>
        <w:tc>
          <w:tcPr>
            <w:tcW w:w="660" w:type="dxa"/>
            <w:vMerge w:val="continue"/>
            <w:tcBorders>
              <w:top w:val="nil"/>
              <w:left w:val="single" w:color="auto" w:sz="4" w:space="0"/>
              <w:bottom w:val="single" w:color="auto" w:sz="4" w:space="0"/>
              <w:right w:val="single" w:color="auto" w:sz="4" w:space="0"/>
            </w:tcBorders>
            <w:shd w:val="clear" w:color="auto" w:fill="auto"/>
            <w:tcMar>
              <w:left w:w="40" w:type="dxa"/>
              <w:right w:w="40" w:type="dxa"/>
            </w:tcMar>
            <w:vAlign w:val="center"/>
          </w:tcPr>
          <w:p>
            <w:pPr>
              <w:rPr>
                <w:rFonts w:hint="eastAsia" w:ascii="宋体"/>
                <w:sz w:val="24"/>
                <w:szCs w:val="24"/>
              </w:rPr>
            </w:pPr>
          </w:p>
        </w:tc>
        <w:tc>
          <w:tcPr>
            <w:tcW w:w="6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4"/>
                <w:szCs w:val="14"/>
              </w:rPr>
              <w:t>二级</w:t>
            </w:r>
          </w:p>
        </w:tc>
        <w:tc>
          <w:tcPr>
            <w:tcW w:w="47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353</w:t>
            </w:r>
          </w:p>
        </w:tc>
        <w:tc>
          <w:tcPr>
            <w:tcW w:w="56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23.5</w:t>
            </w:r>
          </w:p>
        </w:tc>
        <w:tc>
          <w:tcPr>
            <w:tcW w:w="45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364</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24.25</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236</w:t>
            </w:r>
          </w:p>
        </w:tc>
        <w:tc>
          <w:tcPr>
            <w:tcW w:w="5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15.7</w:t>
            </w:r>
          </w:p>
        </w:tc>
        <w:tc>
          <w:tcPr>
            <w:tcW w:w="49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333</w:t>
            </w:r>
          </w:p>
        </w:tc>
        <w:tc>
          <w:tcPr>
            <w:tcW w:w="53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22.2</w:t>
            </w:r>
          </w:p>
        </w:tc>
        <w:tc>
          <w:tcPr>
            <w:tcW w:w="4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380</w:t>
            </w:r>
          </w:p>
        </w:tc>
        <w:tc>
          <w:tcPr>
            <w:tcW w:w="5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25.33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jc w:val="center"/>
        </w:trPr>
        <w:tc>
          <w:tcPr>
            <w:tcW w:w="660" w:type="dxa"/>
            <w:vMerge w:val="restart"/>
            <w:tcBorders>
              <w:top w:val="nil"/>
              <w:left w:val="single" w:color="auto" w:sz="4" w:space="0"/>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4"/>
                <w:szCs w:val="14"/>
              </w:rPr>
              <w:t>汶阳镇</w:t>
            </w:r>
          </w:p>
        </w:tc>
        <w:tc>
          <w:tcPr>
            <w:tcW w:w="6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4"/>
                <w:szCs w:val="14"/>
              </w:rPr>
              <w:t>一级</w:t>
            </w:r>
          </w:p>
        </w:tc>
        <w:tc>
          <w:tcPr>
            <w:tcW w:w="47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409</w:t>
            </w:r>
          </w:p>
        </w:tc>
        <w:tc>
          <w:tcPr>
            <w:tcW w:w="56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27.27</w:t>
            </w:r>
          </w:p>
        </w:tc>
        <w:tc>
          <w:tcPr>
            <w:tcW w:w="45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403</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26.86</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252</w:t>
            </w:r>
          </w:p>
        </w:tc>
        <w:tc>
          <w:tcPr>
            <w:tcW w:w="5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16.82</w:t>
            </w:r>
          </w:p>
        </w:tc>
        <w:tc>
          <w:tcPr>
            <w:tcW w:w="49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357</w:t>
            </w:r>
          </w:p>
        </w:tc>
        <w:tc>
          <w:tcPr>
            <w:tcW w:w="53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23.8</w:t>
            </w:r>
          </w:p>
        </w:tc>
        <w:tc>
          <w:tcPr>
            <w:tcW w:w="4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408</w:t>
            </w:r>
          </w:p>
        </w:tc>
        <w:tc>
          <w:tcPr>
            <w:tcW w:w="5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27.2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jc w:val="center"/>
        </w:trPr>
        <w:tc>
          <w:tcPr>
            <w:tcW w:w="660" w:type="dxa"/>
            <w:vMerge w:val="continue"/>
            <w:tcBorders>
              <w:top w:val="nil"/>
              <w:left w:val="single" w:color="auto" w:sz="4" w:space="0"/>
              <w:bottom w:val="single" w:color="auto" w:sz="4" w:space="0"/>
              <w:right w:val="single" w:color="auto" w:sz="4" w:space="0"/>
            </w:tcBorders>
            <w:shd w:val="clear" w:color="auto" w:fill="auto"/>
            <w:tcMar>
              <w:left w:w="40" w:type="dxa"/>
              <w:right w:w="40" w:type="dxa"/>
            </w:tcMar>
            <w:vAlign w:val="center"/>
          </w:tcPr>
          <w:p>
            <w:pPr>
              <w:rPr>
                <w:rFonts w:hint="eastAsia" w:ascii="宋体"/>
                <w:sz w:val="24"/>
                <w:szCs w:val="24"/>
              </w:rPr>
            </w:pPr>
          </w:p>
        </w:tc>
        <w:tc>
          <w:tcPr>
            <w:tcW w:w="6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4"/>
                <w:szCs w:val="14"/>
              </w:rPr>
              <w:t>二级</w:t>
            </w:r>
          </w:p>
        </w:tc>
        <w:tc>
          <w:tcPr>
            <w:tcW w:w="47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351</w:t>
            </w:r>
          </w:p>
        </w:tc>
        <w:tc>
          <w:tcPr>
            <w:tcW w:w="56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23.43</w:t>
            </w:r>
          </w:p>
        </w:tc>
        <w:tc>
          <w:tcPr>
            <w:tcW w:w="45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365</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24.33</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237</w:t>
            </w:r>
          </w:p>
        </w:tc>
        <w:tc>
          <w:tcPr>
            <w:tcW w:w="5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15.82</w:t>
            </w:r>
          </w:p>
        </w:tc>
        <w:tc>
          <w:tcPr>
            <w:tcW w:w="49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335</w:t>
            </w:r>
          </w:p>
        </w:tc>
        <w:tc>
          <w:tcPr>
            <w:tcW w:w="53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22.33</w:t>
            </w:r>
          </w:p>
        </w:tc>
        <w:tc>
          <w:tcPr>
            <w:tcW w:w="4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383</w:t>
            </w:r>
          </w:p>
        </w:tc>
        <w:tc>
          <w:tcPr>
            <w:tcW w:w="5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25.53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jc w:val="center"/>
        </w:trPr>
        <w:tc>
          <w:tcPr>
            <w:tcW w:w="660" w:type="dxa"/>
            <w:vMerge w:val="restart"/>
            <w:tcBorders>
              <w:top w:val="nil"/>
              <w:left w:val="single" w:color="auto" w:sz="4" w:space="0"/>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4"/>
                <w:szCs w:val="14"/>
              </w:rPr>
              <w:t>孙伯镇</w:t>
            </w:r>
          </w:p>
        </w:tc>
        <w:tc>
          <w:tcPr>
            <w:tcW w:w="6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4"/>
                <w:szCs w:val="14"/>
              </w:rPr>
              <w:t>一级</w:t>
            </w:r>
          </w:p>
        </w:tc>
        <w:tc>
          <w:tcPr>
            <w:tcW w:w="47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396</w:t>
            </w:r>
          </w:p>
        </w:tc>
        <w:tc>
          <w:tcPr>
            <w:tcW w:w="56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26.43</w:t>
            </w:r>
          </w:p>
        </w:tc>
        <w:tc>
          <w:tcPr>
            <w:tcW w:w="45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417</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27.8</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248</w:t>
            </w:r>
          </w:p>
        </w:tc>
        <w:tc>
          <w:tcPr>
            <w:tcW w:w="5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16.5</w:t>
            </w:r>
          </w:p>
        </w:tc>
        <w:tc>
          <w:tcPr>
            <w:tcW w:w="49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350</w:t>
            </w:r>
          </w:p>
        </w:tc>
        <w:tc>
          <w:tcPr>
            <w:tcW w:w="53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23.33</w:t>
            </w:r>
          </w:p>
        </w:tc>
        <w:tc>
          <w:tcPr>
            <w:tcW w:w="4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400</w:t>
            </w:r>
          </w:p>
        </w:tc>
        <w:tc>
          <w:tcPr>
            <w:tcW w:w="5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26.67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jc w:val="center"/>
        </w:trPr>
        <w:tc>
          <w:tcPr>
            <w:tcW w:w="660" w:type="dxa"/>
            <w:vMerge w:val="continue"/>
            <w:tcBorders>
              <w:top w:val="nil"/>
              <w:left w:val="single" w:color="auto" w:sz="4" w:space="0"/>
              <w:bottom w:val="single" w:color="auto" w:sz="4" w:space="0"/>
              <w:right w:val="single" w:color="auto" w:sz="4" w:space="0"/>
            </w:tcBorders>
            <w:shd w:val="clear" w:color="auto" w:fill="auto"/>
            <w:tcMar>
              <w:left w:w="40" w:type="dxa"/>
              <w:right w:w="40" w:type="dxa"/>
            </w:tcMar>
            <w:vAlign w:val="center"/>
          </w:tcPr>
          <w:p>
            <w:pPr>
              <w:rPr>
                <w:rFonts w:hint="eastAsia" w:ascii="宋体"/>
                <w:sz w:val="24"/>
                <w:szCs w:val="24"/>
              </w:rPr>
            </w:pPr>
          </w:p>
        </w:tc>
        <w:tc>
          <w:tcPr>
            <w:tcW w:w="6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4"/>
                <w:szCs w:val="14"/>
              </w:rPr>
              <w:t>二级</w:t>
            </w:r>
          </w:p>
        </w:tc>
        <w:tc>
          <w:tcPr>
            <w:tcW w:w="47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340</w:t>
            </w:r>
          </w:p>
        </w:tc>
        <w:tc>
          <w:tcPr>
            <w:tcW w:w="56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22.67</w:t>
            </w:r>
          </w:p>
        </w:tc>
        <w:tc>
          <w:tcPr>
            <w:tcW w:w="45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382</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25.45</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232</w:t>
            </w:r>
          </w:p>
        </w:tc>
        <w:tc>
          <w:tcPr>
            <w:tcW w:w="5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15.46</w:t>
            </w:r>
          </w:p>
        </w:tc>
        <w:tc>
          <w:tcPr>
            <w:tcW w:w="49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330</w:t>
            </w:r>
          </w:p>
        </w:tc>
        <w:tc>
          <w:tcPr>
            <w:tcW w:w="53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22</w:t>
            </w:r>
          </w:p>
        </w:tc>
        <w:tc>
          <w:tcPr>
            <w:tcW w:w="4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377</w:t>
            </w:r>
          </w:p>
        </w:tc>
        <w:tc>
          <w:tcPr>
            <w:tcW w:w="5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25.13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jc w:val="center"/>
        </w:trPr>
        <w:tc>
          <w:tcPr>
            <w:tcW w:w="660" w:type="dxa"/>
            <w:vMerge w:val="restart"/>
            <w:tcBorders>
              <w:top w:val="nil"/>
              <w:left w:val="single" w:color="auto" w:sz="4" w:space="0"/>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4"/>
                <w:szCs w:val="14"/>
              </w:rPr>
              <w:t>王庄镇</w:t>
            </w:r>
          </w:p>
        </w:tc>
        <w:tc>
          <w:tcPr>
            <w:tcW w:w="6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4"/>
                <w:szCs w:val="14"/>
              </w:rPr>
              <w:t>一级</w:t>
            </w:r>
          </w:p>
        </w:tc>
        <w:tc>
          <w:tcPr>
            <w:tcW w:w="47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393</w:t>
            </w:r>
          </w:p>
        </w:tc>
        <w:tc>
          <w:tcPr>
            <w:tcW w:w="56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26.23</w:t>
            </w:r>
          </w:p>
        </w:tc>
        <w:tc>
          <w:tcPr>
            <w:tcW w:w="45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370</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24.67</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246</w:t>
            </w:r>
          </w:p>
        </w:tc>
        <w:tc>
          <w:tcPr>
            <w:tcW w:w="5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16.4</w:t>
            </w:r>
          </w:p>
        </w:tc>
        <w:tc>
          <w:tcPr>
            <w:tcW w:w="49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350</w:t>
            </w:r>
          </w:p>
        </w:tc>
        <w:tc>
          <w:tcPr>
            <w:tcW w:w="53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23.33</w:t>
            </w:r>
          </w:p>
        </w:tc>
        <w:tc>
          <w:tcPr>
            <w:tcW w:w="4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400</w:t>
            </w:r>
          </w:p>
        </w:tc>
        <w:tc>
          <w:tcPr>
            <w:tcW w:w="5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26.67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660" w:type="dxa"/>
            <w:vMerge w:val="continue"/>
            <w:tcBorders>
              <w:top w:val="nil"/>
              <w:left w:val="single" w:color="auto" w:sz="4" w:space="0"/>
              <w:bottom w:val="single" w:color="auto" w:sz="4" w:space="0"/>
              <w:right w:val="single" w:color="auto" w:sz="4" w:space="0"/>
            </w:tcBorders>
            <w:shd w:val="clear" w:color="auto" w:fill="auto"/>
            <w:tcMar>
              <w:left w:w="40" w:type="dxa"/>
              <w:right w:w="40" w:type="dxa"/>
            </w:tcMar>
            <w:vAlign w:val="center"/>
          </w:tcPr>
          <w:p>
            <w:pPr>
              <w:rPr>
                <w:rFonts w:hint="eastAsia" w:ascii="宋体"/>
                <w:sz w:val="24"/>
                <w:szCs w:val="24"/>
              </w:rPr>
            </w:pPr>
          </w:p>
        </w:tc>
        <w:tc>
          <w:tcPr>
            <w:tcW w:w="6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4"/>
                <w:szCs w:val="14"/>
              </w:rPr>
              <w:t>二级</w:t>
            </w:r>
          </w:p>
        </w:tc>
        <w:tc>
          <w:tcPr>
            <w:tcW w:w="47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338</w:t>
            </w:r>
          </w:p>
        </w:tc>
        <w:tc>
          <w:tcPr>
            <w:tcW w:w="56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22.52</w:t>
            </w:r>
          </w:p>
        </w:tc>
        <w:tc>
          <w:tcPr>
            <w:tcW w:w="45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351</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23.4</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225</w:t>
            </w:r>
          </w:p>
        </w:tc>
        <w:tc>
          <w:tcPr>
            <w:tcW w:w="5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15</w:t>
            </w:r>
          </w:p>
        </w:tc>
        <w:tc>
          <w:tcPr>
            <w:tcW w:w="49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320</w:t>
            </w:r>
          </w:p>
        </w:tc>
        <w:tc>
          <w:tcPr>
            <w:tcW w:w="53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21.33</w:t>
            </w:r>
          </w:p>
        </w:tc>
        <w:tc>
          <w:tcPr>
            <w:tcW w:w="4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366</w:t>
            </w:r>
          </w:p>
        </w:tc>
        <w:tc>
          <w:tcPr>
            <w:tcW w:w="5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24.4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660" w:type="dxa"/>
            <w:vMerge w:val="restart"/>
            <w:tcBorders>
              <w:top w:val="nil"/>
              <w:left w:val="single" w:color="auto" w:sz="4" w:space="0"/>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4"/>
                <w:szCs w:val="14"/>
              </w:rPr>
              <w:t>安临站镇</w:t>
            </w:r>
          </w:p>
        </w:tc>
        <w:tc>
          <w:tcPr>
            <w:tcW w:w="6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4"/>
                <w:szCs w:val="14"/>
              </w:rPr>
              <w:t>一级</w:t>
            </w:r>
          </w:p>
        </w:tc>
        <w:tc>
          <w:tcPr>
            <w:tcW w:w="47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396</w:t>
            </w:r>
          </w:p>
        </w:tc>
        <w:tc>
          <w:tcPr>
            <w:tcW w:w="56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26.37</w:t>
            </w:r>
          </w:p>
        </w:tc>
        <w:tc>
          <w:tcPr>
            <w:tcW w:w="45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407</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27.13</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251</w:t>
            </w:r>
          </w:p>
        </w:tc>
        <w:tc>
          <w:tcPr>
            <w:tcW w:w="5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16.7</w:t>
            </w:r>
          </w:p>
        </w:tc>
        <w:tc>
          <w:tcPr>
            <w:tcW w:w="49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353</w:t>
            </w:r>
          </w:p>
        </w:tc>
        <w:tc>
          <w:tcPr>
            <w:tcW w:w="53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23.53</w:t>
            </w:r>
          </w:p>
        </w:tc>
        <w:tc>
          <w:tcPr>
            <w:tcW w:w="4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403</w:t>
            </w:r>
          </w:p>
        </w:tc>
        <w:tc>
          <w:tcPr>
            <w:tcW w:w="5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26.87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01" w:hRule="atLeast"/>
          <w:jc w:val="center"/>
        </w:trPr>
        <w:tc>
          <w:tcPr>
            <w:tcW w:w="660" w:type="dxa"/>
            <w:vMerge w:val="continue"/>
            <w:tcBorders>
              <w:top w:val="nil"/>
              <w:left w:val="single" w:color="auto" w:sz="4" w:space="0"/>
              <w:bottom w:val="single" w:color="auto" w:sz="4" w:space="0"/>
              <w:right w:val="single" w:color="auto" w:sz="4" w:space="0"/>
            </w:tcBorders>
            <w:shd w:val="clear" w:color="auto" w:fill="auto"/>
            <w:tcMar>
              <w:left w:w="40" w:type="dxa"/>
              <w:right w:w="40" w:type="dxa"/>
            </w:tcMar>
            <w:vAlign w:val="center"/>
          </w:tcPr>
          <w:p>
            <w:pPr>
              <w:rPr>
                <w:rFonts w:hint="eastAsia" w:ascii="宋体"/>
                <w:sz w:val="24"/>
                <w:szCs w:val="24"/>
              </w:rPr>
            </w:pPr>
          </w:p>
        </w:tc>
        <w:tc>
          <w:tcPr>
            <w:tcW w:w="6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仿宋_GB2312" w:eastAsia="仿宋_GB2312" w:cs="仿宋_GB2312"/>
                <w:color w:val="333333"/>
                <w:sz w:val="14"/>
                <w:szCs w:val="14"/>
              </w:rPr>
              <w:t>二级</w:t>
            </w:r>
          </w:p>
        </w:tc>
        <w:tc>
          <w:tcPr>
            <w:tcW w:w="47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339</w:t>
            </w:r>
          </w:p>
        </w:tc>
        <w:tc>
          <w:tcPr>
            <w:tcW w:w="56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22.59</w:t>
            </w:r>
          </w:p>
        </w:tc>
        <w:tc>
          <w:tcPr>
            <w:tcW w:w="45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380</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25.33</w:t>
            </w:r>
          </w:p>
        </w:tc>
        <w:tc>
          <w:tcPr>
            <w:tcW w:w="52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236</w:t>
            </w:r>
          </w:p>
        </w:tc>
        <w:tc>
          <w:tcPr>
            <w:tcW w:w="5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15.7</w:t>
            </w:r>
          </w:p>
        </w:tc>
        <w:tc>
          <w:tcPr>
            <w:tcW w:w="49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332</w:t>
            </w:r>
          </w:p>
        </w:tc>
        <w:tc>
          <w:tcPr>
            <w:tcW w:w="53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22.13</w:t>
            </w:r>
          </w:p>
        </w:tc>
        <w:tc>
          <w:tcPr>
            <w:tcW w:w="44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379</w:t>
            </w:r>
          </w:p>
        </w:tc>
        <w:tc>
          <w:tcPr>
            <w:tcW w:w="500" w:type="dxa"/>
            <w:tcBorders>
              <w:top w:val="nil"/>
              <w:left w:val="nil"/>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0"/>
              <w:jc w:val="center"/>
              <w:rPr>
                <w:color w:val="333333"/>
                <w:sz w:val="14"/>
                <w:szCs w:val="14"/>
              </w:rPr>
            </w:pPr>
            <w:r>
              <w:rPr>
                <w:rFonts w:hint="default" w:ascii="Times New Roman" w:hAnsi="Times New Roman" w:cs="Times New Roman"/>
                <w:color w:val="333333"/>
                <w:sz w:val="14"/>
                <w:szCs w:val="14"/>
              </w:rPr>
              <w:t>25.27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40" w:hRule="atLeast"/>
          <w:jc w:val="center"/>
        </w:trPr>
        <w:tc>
          <w:tcPr>
            <w:tcW w:w="6290" w:type="dxa"/>
            <w:gridSpan w:val="12"/>
            <w:tcBorders>
              <w:top w:val="nil"/>
              <w:left w:val="single" w:color="auto" w:sz="4" w:space="0"/>
              <w:bottom w:val="single" w:color="auto" w:sz="4" w:space="0"/>
              <w:right w:val="single" w:color="auto" w:sz="4" w:space="0"/>
            </w:tcBorders>
            <w:shd w:val="clear" w:color="auto" w:fill="auto"/>
            <w:tcMar>
              <w:left w:w="40" w:type="dxa"/>
              <w:right w:w="40"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0" w:lineRule="atLeast"/>
              <w:ind w:left="0" w:right="0" w:firstLine="0"/>
              <w:jc w:val="left"/>
              <w:rPr>
                <w:color w:val="333333"/>
                <w:sz w:val="14"/>
                <w:szCs w:val="14"/>
              </w:rPr>
            </w:pPr>
            <w:r>
              <w:rPr>
                <w:rFonts w:hint="default" w:ascii="仿宋_GB2312" w:eastAsia="仿宋_GB2312" w:cs="仿宋_GB2312"/>
                <w:color w:val="333333"/>
                <w:sz w:val="14"/>
                <w:szCs w:val="14"/>
              </w:rPr>
              <w:t>注：公服用地</w:t>
            </w:r>
            <w:r>
              <w:rPr>
                <w:rFonts w:hint="default" w:ascii="Times New Roman" w:hAnsi="Times New Roman" w:cs="Times New Roman"/>
                <w:color w:val="333333"/>
                <w:sz w:val="14"/>
                <w:szCs w:val="14"/>
              </w:rPr>
              <w:t>Ⅰ</w:t>
            </w:r>
            <w:r>
              <w:rPr>
                <w:rFonts w:hint="default" w:ascii="仿宋_GB2312" w:eastAsia="仿宋_GB2312" w:cs="仿宋_GB2312"/>
                <w:color w:val="333333"/>
                <w:sz w:val="14"/>
                <w:szCs w:val="14"/>
              </w:rPr>
              <w:t>包括：公共设施用地（</w:t>
            </w:r>
            <w:r>
              <w:rPr>
                <w:rFonts w:hint="default" w:ascii="Times New Roman" w:hAnsi="Times New Roman" w:cs="Times New Roman"/>
                <w:color w:val="333333"/>
                <w:sz w:val="14"/>
                <w:szCs w:val="14"/>
              </w:rPr>
              <w:t>0809</w:t>
            </w:r>
            <w:r>
              <w:rPr>
                <w:rFonts w:hint="default" w:ascii="仿宋_GB2312" w:eastAsia="仿宋_GB2312" w:cs="仿宋_GB2312"/>
                <w:color w:val="333333"/>
                <w:sz w:val="14"/>
                <w:szCs w:val="14"/>
              </w:rPr>
              <w:t>）、公园与绿地（</w:t>
            </w:r>
            <w:r>
              <w:rPr>
                <w:rFonts w:hint="default" w:ascii="Times New Roman" w:hAnsi="Times New Roman" w:cs="Times New Roman"/>
                <w:color w:val="333333"/>
                <w:sz w:val="14"/>
                <w:szCs w:val="14"/>
              </w:rPr>
              <w:t>0810</w:t>
            </w:r>
            <w:r>
              <w:rPr>
                <w:rFonts w:hint="default" w:ascii="仿宋_GB2312" w:eastAsia="仿宋_GB2312" w:cs="仿宋_GB2312"/>
                <w:color w:val="333333"/>
                <w:sz w:val="14"/>
                <w:szCs w:val="14"/>
              </w:rPr>
              <w:t>）；公服用地</w:t>
            </w:r>
            <w:r>
              <w:rPr>
                <w:rFonts w:hint="default" w:ascii="Times New Roman" w:hAnsi="Times New Roman" w:cs="Times New Roman"/>
                <w:color w:val="333333"/>
                <w:sz w:val="14"/>
                <w:szCs w:val="14"/>
              </w:rPr>
              <w:t>Ⅱ</w:t>
            </w:r>
            <w:r>
              <w:rPr>
                <w:rFonts w:hint="default" w:ascii="仿宋_GB2312" w:eastAsia="仿宋_GB2312" w:cs="仿宋_GB2312"/>
                <w:color w:val="333333"/>
                <w:sz w:val="14"/>
                <w:szCs w:val="14"/>
              </w:rPr>
              <w:t>包括：机关团体用地（</w:t>
            </w:r>
            <w:r>
              <w:rPr>
                <w:rFonts w:hint="default" w:ascii="Times New Roman" w:hAnsi="Times New Roman" w:cs="Times New Roman"/>
                <w:color w:val="333333"/>
                <w:sz w:val="14"/>
                <w:szCs w:val="14"/>
              </w:rPr>
              <w:t>0801</w:t>
            </w:r>
            <w:r>
              <w:rPr>
                <w:rFonts w:hint="default" w:ascii="仿宋_GB2312" w:eastAsia="仿宋_GB2312" w:cs="仿宋_GB2312"/>
                <w:color w:val="333333"/>
                <w:sz w:val="14"/>
                <w:szCs w:val="14"/>
              </w:rPr>
              <w:t>）、新闻出版用地（</w:t>
            </w:r>
            <w:r>
              <w:rPr>
                <w:rFonts w:hint="default" w:ascii="Times New Roman" w:hAnsi="Times New Roman" w:cs="Times New Roman"/>
                <w:color w:val="333333"/>
                <w:sz w:val="14"/>
                <w:szCs w:val="14"/>
              </w:rPr>
              <w:t>0802</w:t>
            </w:r>
            <w:r>
              <w:rPr>
                <w:rFonts w:hint="default" w:ascii="仿宋_GB2312" w:eastAsia="仿宋_GB2312" w:cs="仿宋_GB2312"/>
                <w:color w:val="333333"/>
                <w:sz w:val="14"/>
                <w:szCs w:val="14"/>
              </w:rPr>
              <w:t>）、教育用地（</w:t>
            </w:r>
            <w:r>
              <w:rPr>
                <w:rFonts w:hint="default" w:ascii="Times New Roman" w:hAnsi="Times New Roman" w:cs="Times New Roman"/>
                <w:color w:val="333333"/>
                <w:sz w:val="14"/>
                <w:szCs w:val="14"/>
              </w:rPr>
              <w:t>0803</w:t>
            </w:r>
            <w:r>
              <w:rPr>
                <w:rFonts w:hint="default" w:ascii="仿宋_GB2312" w:eastAsia="仿宋_GB2312" w:cs="仿宋_GB2312"/>
                <w:color w:val="333333"/>
                <w:sz w:val="14"/>
                <w:szCs w:val="14"/>
              </w:rPr>
              <w:t>）、科研用地（</w:t>
            </w:r>
            <w:r>
              <w:rPr>
                <w:rFonts w:hint="default" w:ascii="Times New Roman" w:hAnsi="Times New Roman" w:cs="Times New Roman"/>
                <w:color w:val="333333"/>
                <w:sz w:val="14"/>
                <w:szCs w:val="14"/>
              </w:rPr>
              <w:t>0804</w:t>
            </w:r>
            <w:r>
              <w:rPr>
                <w:rFonts w:hint="default" w:ascii="仿宋_GB2312" w:eastAsia="仿宋_GB2312" w:cs="仿宋_GB2312"/>
                <w:color w:val="333333"/>
                <w:sz w:val="14"/>
                <w:szCs w:val="14"/>
              </w:rPr>
              <w:t>）、医疗卫生用地（</w:t>
            </w:r>
            <w:r>
              <w:rPr>
                <w:rFonts w:hint="default" w:ascii="Times New Roman" w:hAnsi="Times New Roman" w:cs="Times New Roman"/>
                <w:color w:val="333333"/>
                <w:sz w:val="14"/>
                <w:szCs w:val="14"/>
              </w:rPr>
              <w:t>0805</w:t>
            </w:r>
            <w:r>
              <w:rPr>
                <w:rFonts w:hint="default" w:ascii="仿宋_GB2312" w:eastAsia="仿宋_GB2312" w:cs="仿宋_GB2312"/>
                <w:color w:val="333333"/>
                <w:sz w:val="14"/>
                <w:szCs w:val="14"/>
              </w:rPr>
              <w:t>）、社会福利用地（</w:t>
            </w:r>
            <w:r>
              <w:rPr>
                <w:rFonts w:hint="default" w:ascii="Times New Roman" w:hAnsi="Times New Roman" w:cs="Times New Roman"/>
                <w:color w:val="333333"/>
                <w:sz w:val="14"/>
                <w:szCs w:val="14"/>
              </w:rPr>
              <w:t>0806</w:t>
            </w:r>
            <w:r>
              <w:rPr>
                <w:rFonts w:hint="default" w:ascii="仿宋_GB2312" w:eastAsia="仿宋_GB2312" w:cs="仿宋_GB2312"/>
                <w:color w:val="333333"/>
                <w:sz w:val="14"/>
                <w:szCs w:val="14"/>
              </w:rPr>
              <w:t>）、文体设施用地（</w:t>
            </w:r>
            <w:r>
              <w:rPr>
                <w:rFonts w:hint="default" w:ascii="Times New Roman" w:hAnsi="Times New Roman" w:cs="Times New Roman"/>
                <w:color w:val="333333"/>
                <w:sz w:val="14"/>
                <w:szCs w:val="14"/>
              </w:rPr>
              <w:t>0807</w:t>
            </w:r>
            <w:r>
              <w:rPr>
                <w:rFonts w:hint="default" w:ascii="仿宋_GB2312" w:eastAsia="仿宋_GB2312" w:cs="仿宋_GB2312"/>
                <w:color w:val="333333"/>
                <w:sz w:val="14"/>
                <w:szCs w:val="14"/>
              </w:rPr>
              <w:t>）、体育用地（</w:t>
            </w:r>
            <w:r>
              <w:rPr>
                <w:rFonts w:hint="default" w:ascii="Times New Roman" w:hAnsi="Times New Roman" w:cs="Times New Roman"/>
                <w:color w:val="333333"/>
                <w:sz w:val="14"/>
                <w:szCs w:val="14"/>
              </w:rPr>
              <w:t>0808</w:t>
            </w:r>
            <w:r>
              <w:rPr>
                <w:rFonts w:hint="default" w:ascii="仿宋_GB2312" w:eastAsia="仿宋_GB2312" w:cs="仿宋_GB2312"/>
                <w:color w:val="333333"/>
                <w:sz w:val="14"/>
                <w:szCs w:val="14"/>
              </w:rPr>
              <w:t>）。</w:t>
            </w:r>
          </w:p>
        </w:tc>
      </w:tr>
    </w:tbl>
    <w:p>
      <w:pPr>
        <w:pStyle w:val="7"/>
        <w:shd w:val="clear" w:color="auto" w:fill="FFFFFF"/>
        <w:spacing w:before="0" w:beforeAutospacing="0" w:after="0" w:afterAutospacing="0" w:line="332" w:lineRule="atLeast"/>
        <w:jc w:val="center"/>
        <w:rPr>
          <w:rFonts w:hint="eastAsia" w:ascii="方正小标宋简体" w:hAnsi="仿宋" w:eastAsia="方正小标宋简体" w:cstheme="minorBidi"/>
          <w:kern w:val="2"/>
          <w:sz w:val="36"/>
          <w:szCs w:val="36"/>
        </w:rPr>
      </w:pPr>
    </w:p>
    <w:p>
      <w:pPr>
        <w:pStyle w:val="7"/>
        <w:shd w:val="clear" w:color="auto" w:fill="FFFFFF"/>
        <w:spacing w:before="0" w:beforeAutospacing="0" w:after="0" w:afterAutospacing="0" w:line="332" w:lineRule="atLeast"/>
        <w:jc w:val="center"/>
        <w:rPr>
          <w:rFonts w:hint="eastAsia" w:ascii="宋体" w:hAnsi="宋体" w:eastAsia="宋体" w:cs="宋体"/>
          <w:kern w:val="2"/>
          <w:sz w:val="44"/>
          <w:szCs w:val="44"/>
        </w:rPr>
      </w:pPr>
      <w:r>
        <w:rPr>
          <w:rFonts w:hint="eastAsia" w:ascii="宋体" w:hAnsi="宋体" w:eastAsia="宋体" w:cs="宋体"/>
          <w:kern w:val="2"/>
          <w:sz w:val="44"/>
          <w:szCs w:val="44"/>
        </w:rPr>
        <w:t>肥城市人民政府办公室</w:t>
      </w:r>
    </w:p>
    <w:p>
      <w:pPr>
        <w:pStyle w:val="7"/>
        <w:shd w:val="clear" w:color="auto" w:fill="FFFFFF"/>
        <w:spacing w:before="0" w:beforeAutospacing="0" w:after="0" w:afterAutospacing="0" w:line="332" w:lineRule="atLeast"/>
        <w:jc w:val="center"/>
        <w:rPr>
          <w:rFonts w:hint="eastAsia" w:ascii="宋体" w:hAnsi="宋体" w:eastAsia="宋体" w:cs="宋体"/>
          <w:kern w:val="2"/>
          <w:sz w:val="44"/>
          <w:szCs w:val="44"/>
        </w:rPr>
      </w:pPr>
      <w:r>
        <w:rPr>
          <w:rFonts w:hint="eastAsia" w:ascii="宋体" w:hAnsi="宋体" w:eastAsia="宋体" w:cs="宋体"/>
          <w:kern w:val="2"/>
          <w:sz w:val="44"/>
          <w:szCs w:val="44"/>
        </w:rPr>
        <w:t>关于调整部分临时机构和议事协调机构的</w:t>
      </w:r>
    </w:p>
    <w:p>
      <w:pPr>
        <w:pStyle w:val="7"/>
        <w:shd w:val="clear" w:color="auto" w:fill="FFFFFF"/>
        <w:spacing w:before="0" w:beforeAutospacing="0" w:after="0" w:afterAutospacing="0" w:line="332" w:lineRule="atLeast"/>
        <w:jc w:val="center"/>
        <w:rPr>
          <w:rFonts w:hint="eastAsia" w:ascii="宋体" w:hAnsi="宋体" w:eastAsia="宋体" w:cs="宋体"/>
          <w:kern w:val="2"/>
          <w:sz w:val="44"/>
          <w:szCs w:val="44"/>
        </w:rPr>
      </w:pPr>
      <w:r>
        <w:rPr>
          <w:rFonts w:hint="eastAsia" w:ascii="宋体" w:hAnsi="宋体" w:eastAsia="宋体" w:cs="宋体"/>
          <w:kern w:val="2"/>
          <w:sz w:val="44"/>
          <w:szCs w:val="44"/>
        </w:rPr>
        <w:t>通知</w:t>
      </w:r>
    </w:p>
    <w:p>
      <w:pPr>
        <w:spacing w:line="520" w:lineRule="exact"/>
        <w:jc w:val="center"/>
        <w:rPr>
          <w:rFonts w:ascii="仿宋_GB2312" w:eastAsia="仿宋_GB2312" w:hAnsiTheme="minorEastAsia"/>
          <w:sz w:val="32"/>
          <w:szCs w:val="32"/>
        </w:rPr>
      </w:pPr>
    </w:p>
    <w:p>
      <w:pPr>
        <w:pStyle w:val="7"/>
        <w:shd w:val="clear" w:color="auto" w:fill="FFFFFF"/>
        <w:spacing w:before="0" w:beforeAutospacing="0" w:after="0" w:afterAutospacing="0" w:line="332" w:lineRule="atLeast"/>
        <w:jc w:val="center"/>
        <w:rPr>
          <w:rFonts w:hint="eastAsia" w:ascii="仿宋_GB2312" w:hAnsi="仿宋" w:eastAsia="仿宋_GB2312" w:cstheme="minorBidi"/>
          <w:kern w:val="2"/>
          <w:sz w:val="32"/>
          <w:szCs w:val="32"/>
        </w:rPr>
      </w:pPr>
      <w:r>
        <w:rPr>
          <w:rFonts w:hint="eastAsia" w:ascii="楷体_GB2312" w:eastAsia="楷体_GB2312" w:hAnsiTheme="minorEastAsia"/>
          <w:sz w:val="32"/>
          <w:szCs w:val="32"/>
        </w:rPr>
        <w:t>肥政办发〔20</w:t>
      </w:r>
      <w:r>
        <w:rPr>
          <w:rFonts w:hint="eastAsia" w:ascii="楷体_GB2312" w:eastAsia="楷体_GB2312" w:hAnsiTheme="minorEastAsia"/>
          <w:sz w:val="32"/>
          <w:szCs w:val="32"/>
          <w:lang w:val="en-US" w:eastAsia="zh-CN"/>
        </w:rPr>
        <w:t>20</w:t>
      </w:r>
      <w:r>
        <w:rPr>
          <w:rFonts w:hint="eastAsia" w:ascii="楷体_GB2312" w:eastAsia="楷体_GB2312" w:hAnsiTheme="minorEastAsia"/>
          <w:sz w:val="32"/>
          <w:szCs w:val="32"/>
        </w:rPr>
        <w:t>〕</w:t>
      </w:r>
      <w:r>
        <w:rPr>
          <w:rFonts w:hint="eastAsia" w:ascii="楷体_GB2312" w:eastAsia="楷体_GB2312" w:hAnsiTheme="minorEastAsia"/>
          <w:sz w:val="32"/>
          <w:szCs w:val="32"/>
          <w:lang w:val="en-US" w:eastAsia="zh-CN"/>
        </w:rPr>
        <w:t>4</w:t>
      </w:r>
      <w:r>
        <w:rPr>
          <w:rFonts w:hint="eastAsia" w:ascii="楷体_GB2312" w:eastAsia="楷体_GB2312" w:hAnsiTheme="minorEastAsia"/>
          <w:sz w:val="32"/>
          <w:szCs w:val="32"/>
        </w:rPr>
        <w:t>号</w:t>
      </w:r>
    </w:p>
    <w:p>
      <w:pPr>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各镇人民政府、街道办事处，高新区、经开区，市政府各部门、各直属机构，市属以上驻肥各单位：</w:t>
      </w:r>
    </w:p>
    <w:p>
      <w:pPr>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根据人员变动和工作需要，市政府决定，调整部分临时机构和议事协调机构，现将成员名单公布如下：</w:t>
      </w:r>
    </w:p>
    <w:p>
      <w:pPr>
        <w:spacing w:line="520" w:lineRule="exact"/>
        <w:ind w:firstLine="320" w:firstLineChars="100"/>
        <w:jc w:val="left"/>
        <w:rPr>
          <w:rFonts w:hint="eastAsia" w:ascii="仿宋_GB2312" w:hAnsi="仿宋" w:eastAsia="仿宋_GB2312"/>
          <w:sz w:val="32"/>
          <w:szCs w:val="32"/>
        </w:rPr>
      </w:pPr>
      <w:r>
        <w:rPr>
          <w:rFonts w:hint="eastAsia" w:ascii="仿宋_GB2312" w:hAnsi="仿宋" w:eastAsia="仿宋_GB2312"/>
          <w:sz w:val="32"/>
          <w:szCs w:val="32"/>
        </w:rPr>
        <w:t>一、肥城市防汛抗旱指挥部</w:t>
      </w:r>
    </w:p>
    <w:p>
      <w:pPr>
        <w:spacing w:line="520" w:lineRule="exact"/>
        <w:ind w:firstLine="320" w:firstLineChars="100"/>
        <w:jc w:val="left"/>
        <w:rPr>
          <w:rFonts w:hint="eastAsia" w:ascii="仿宋_GB2312" w:hAnsi="仿宋" w:eastAsia="仿宋_GB2312"/>
          <w:sz w:val="32"/>
          <w:szCs w:val="32"/>
        </w:rPr>
      </w:pPr>
      <w:r>
        <w:rPr>
          <w:rFonts w:hint="eastAsia" w:ascii="仿宋_GB2312" w:hAnsi="仿宋" w:eastAsia="仿宋_GB2312"/>
          <w:sz w:val="32"/>
          <w:szCs w:val="32"/>
        </w:rPr>
        <w:t>指挥:</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殷锡瑞</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市委副书记、市长</w:t>
      </w:r>
    </w:p>
    <w:p>
      <w:pPr>
        <w:spacing w:line="520" w:lineRule="exact"/>
        <w:ind w:firstLine="320" w:firstLineChars="100"/>
        <w:jc w:val="left"/>
        <w:rPr>
          <w:rFonts w:hint="eastAsia" w:ascii="仿宋_GB2312" w:hAnsi="仿宋" w:eastAsia="仿宋_GB2312"/>
          <w:sz w:val="32"/>
          <w:szCs w:val="32"/>
        </w:rPr>
      </w:pPr>
      <w:r>
        <w:rPr>
          <w:rFonts w:hint="eastAsia" w:ascii="仿宋_GB2312" w:hAnsi="仿宋" w:eastAsia="仿宋_GB2312"/>
          <w:sz w:val="32"/>
          <w:szCs w:val="32"/>
        </w:rPr>
        <w:t>副指挥:王志勇</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市委常委、副市长</w:t>
      </w:r>
    </w:p>
    <w:p>
      <w:pPr>
        <w:spacing w:line="520" w:lineRule="exact"/>
        <w:ind w:firstLine="320" w:firstLineChars="100"/>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张尽峰</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市委常委、市人武部部长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赵兴广</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副市长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陈正一</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副市长</w:t>
      </w:r>
    </w:p>
    <w:p>
      <w:pPr>
        <w:spacing w:line="520" w:lineRule="exact"/>
        <w:ind w:firstLine="320" w:firstLineChars="100"/>
        <w:jc w:val="left"/>
        <w:rPr>
          <w:rFonts w:hint="eastAsia" w:ascii="仿宋_GB2312" w:hAnsi="仿宋" w:eastAsia="仿宋_GB2312"/>
          <w:sz w:val="32"/>
          <w:szCs w:val="32"/>
        </w:rPr>
      </w:pPr>
      <w:r>
        <w:rPr>
          <w:rFonts w:hint="eastAsia" w:ascii="仿宋_GB2312" w:hAnsi="仿宋" w:eastAsia="仿宋_GB2312"/>
          <w:sz w:val="32"/>
          <w:szCs w:val="32"/>
        </w:rPr>
        <w:t>成员:闫文明</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市高级技工学校校长、应急局局长</w:t>
      </w:r>
    </w:p>
    <w:p>
      <w:pPr>
        <w:spacing w:line="520" w:lineRule="exact"/>
        <w:ind w:firstLine="320" w:firstLineChars="100"/>
        <w:jc w:val="left"/>
        <w:rPr>
          <w:rFonts w:hint="eastAsia" w:ascii="仿宋_GB2312" w:hAnsi="仿宋" w:eastAsia="仿宋_GB2312"/>
          <w:sz w:val="32"/>
          <w:szCs w:val="32"/>
        </w:rPr>
      </w:pPr>
      <w:r>
        <w:rPr>
          <w:rFonts w:hint="eastAsia" w:ascii="仿宋_GB2312" w:hAnsi="仿宋" w:eastAsia="仿宋_GB2312" w:cstheme="minorBidi"/>
          <w:kern w:val="2"/>
          <w:sz w:val="32"/>
          <w:szCs w:val="32"/>
        </w:rPr>
        <w:t>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荆文忠</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市政府党组成员、政府办公室主任</w:t>
      </w:r>
    </w:p>
    <w:p>
      <w:pPr>
        <w:spacing w:line="520" w:lineRule="exact"/>
        <w:ind w:left="640" w:hanging="640" w:hangingChars="200"/>
        <w:jc w:val="left"/>
        <w:rPr>
          <w:rFonts w:hint="eastAsia" w:ascii="仿宋_GB2312" w:hAnsi="仿宋" w:eastAsia="仿宋_GB2312"/>
          <w:sz w:val="32"/>
          <w:szCs w:val="32"/>
        </w:rPr>
      </w:pPr>
      <w:r>
        <w:rPr>
          <w:rFonts w:hint="eastAsia" w:ascii="仿宋_GB2312" w:hAnsi="仿宋" w:eastAsia="仿宋_GB2312" w:cstheme="minorBidi"/>
          <w:kern w:val="2"/>
          <w:sz w:val="32"/>
          <w:szCs w:val="32"/>
        </w:rPr>
        <w:t>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雍彦明</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市委组织部副部长、市人力资源社会保障局局长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赵衍水</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市发展改革局局长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姜世文</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市财政局局长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赵恒军</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市工业和信息化局局长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杨仁勇</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市民政局局长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于为韬</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市自然资源和规划局局长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傅</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强</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市农业农村局局长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田希庚</w:t>
      </w:r>
      <w:r>
        <w:rPr>
          <w:rFonts w:hint="eastAsia" w:ascii="仿宋_GB2312" w:hAnsi="仿宋" w:eastAsia="仿宋_GB2312"/>
          <w:b w:val="0"/>
          <w:bCs w:val="0"/>
          <w:sz w:val="32"/>
          <w:szCs w:val="32"/>
          <w:lang w:val="en-US" w:eastAsia="zh-CN"/>
        </w:rPr>
        <w:t xml:space="preserve">  </w:t>
      </w:r>
      <w:r>
        <w:rPr>
          <w:rFonts w:hint="eastAsia" w:ascii="仿宋_GB2312" w:hAnsi="仿宋" w:eastAsia="仿宋_GB2312"/>
          <w:sz w:val="32"/>
          <w:szCs w:val="32"/>
        </w:rPr>
        <w:t>市水利局局长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赵永军</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市教育和体育局局长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吴瑞华</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市卫生健康局局长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艾</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东</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市交通运输局局长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董庆焕</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市住房城乡建设局局长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刘任力</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市文化和旅游局局长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董</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军</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市商务局局长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辛培祥</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市市场监管局局长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聂继佩</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市综合行政执法局局长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张言伟</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市融媒体中心主任</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王广乾</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市消防救援大队大队长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刘</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云</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市气象局局长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郑志国</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市水文局局长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张继胜</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市供销社主任</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盛连波</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市地企协同发展中心主任</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孙庆良</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市生态林业发展中心主任</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孙刚荣</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市水资源保护中心主任</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李庆锋</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市河道管理保护中心主任</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刘圣利</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市现代农业发展服务中心主任</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赵</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伟</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市畜牧兽医服务中心主任</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付振杰</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市粮食和物资储备中心主任</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王明星</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市物资商业促进中心主任</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魏世忠</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市煤炭发展中心主任</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孟庆国</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市旅游发展中心主任</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杨庆国</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市公安局副局长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辛显涛</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市应急局副局长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高</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春</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市水利局副局长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安英豪</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市供电公司总经理</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陶晓娣</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中国邮政集团肥城市分公司总经理</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程</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军</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中国移动肥城分公司总经理</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尹</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广</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中国联通肥城分公司总经理</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王开阳</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中国人保财险肥城支公司总经理</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田新广</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中国人寿保险肥城支公司总经理</w:t>
      </w:r>
    </w:p>
    <w:p>
      <w:pPr>
        <w:spacing w:line="520" w:lineRule="exact"/>
        <w:ind w:firstLine="320" w:firstLineChars="100"/>
        <w:jc w:val="left"/>
        <w:rPr>
          <w:rFonts w:hint="eastAsia" w:ascii="仿宋_GB2312" w:hAnsi="仿宋" w:eastAsia="仿宋_GB2312"/>
          <w:sz w:val="32"/>
          <w:szCs w:val="32"/>
        </w:rPr>
      </w:pPr>
      <w:r>
        <w:rPr>
          <w:rFonts w:hint="eastAsia" w:ascii="仿宋_GB2312" w:hAnsi="仿宋" w:eastAsia="仿宋_GB2312"/>
          <w:sz w:val="32"/>
          <w:szCs w:val="32"/>
        </w:rPr>
        <w:t>指挥部办公室设在市水利局，田希庚、闫文明兼任办公室主任，高春、辛显涛任办公室副主任。</w:t>
      </w:r>
    </w:p>
    <w:p>
      <w:pPr>
        <w:spacing w:line="520" w:lineRule="exact"/>
        <w:ind w:firstLine="320" w:firstLineChars="100"/>
        <w:jc w:val="left"/>
        <w:rPr>
          <w:rFonts w:hint="eastAsia" w:ascii="仿宋_GB2312" w:hAnsi="仿宋" w:eastAsia="仿宋_GB2312"/>
          <w:sz w:val="32"/>
          <w:szCs w:val="32"/>
        </w:rPr>
      </w:pPr>
      <w:r>
        <w:rPr>
          <w:rFonts w:hint="eastAsia" w:ascii="仿宋_GB2312" w:hAnsi="仿宋" w:eastAsia="仿宋_GB2312"/>
          <w:sz w:val="32"/>
          <w:szCs w:val="32"/>
        </w:rPr>
        <w:t>二、肥城市禁毒委员会</w:t>
      </w:r>
    </w:p>
    <w:p>
      <w:pPr>
        <w:spacing w:line="520" w:lineRule="exact"/>
        <w:ind w:firstLine="320" w:firstLineChars="100"/>
        <w:jc w:val="left"/>
        <w:rPr>
          <w:rFonts w:hint="eastAsia" w:ascii="仿宋_GB2312" w:hAnsi="仿宋" w:eastAsia="仿宋_GB2312"/>
          <w:sz w:val="32"/>
          <w:szCs w:val="32"/>
        </w:rPr>
      </w:pPr>
      <w:r>
        <w:rPr>
          <w:rFonts w:hint="eastAsia" w:ascii="仿宋_GB2312" w:hAnsi="仿宋" w:eastAsia="仿宋_GB2312"/>
          <w:sz w:val="32"/>
          <w:szCs w:val="32"/>
        </w:rPr>
        <w:t>主任：</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田茂金</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副市长、市公安局局长</w:t>
      </w:r>
    </w:p>
    <w:p>
      <w:pPr>
        <w:spacing w:line="520" w:lineRule="exact"/>
        <w:ind w:firstLine="320" w:firstLineChars="100"/>
        <w:jc w:val="left"/>
        <w:rPr>
          <w:rFonts w:hint="eastAsia" w:ascii="仿宋_GB2312" w:hAnsi="仿宋" w:eastAsia="仿宋_GB2312"/>
          <w:sz w:val="32"/>
          <w:szCs w:val="32"/>
        </w:rPr>
      </w:pPr>
      <w:r>
        <w:rPr>
          <w:rFonts w:hint="eastAsia" w:ascii="仿宋_GB2312" w:hAnsi="仿宋" w:eastAsia="仿宋_GB2312"/>
          <w:sz w:val="32"/>
          <w:szCs w:val="32"/>
        </w:rPr>
        <w:t>副主任：时向东</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市政府办公室副主任、民生服务中心主任</w:t>
      </w:r>
    </w:p>
    <w:p>
      <w:pPr>
        <w:spacing w:line="520" w:lineRule="exact"/>
        <w:ind w:firstLine="320" w:firstLineChars="100"/>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马</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勇</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市委宣传部副部长、市爱卫办主任</w:t>
      </w:r>
    </w:p>
    <w:p>
      <w:pPr>
        <w:spacing w:line="520" w:lineRule="exact"/>
        <w:ind w:firstLine="320" w:firstLineChars="100"/>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冯殿峰</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市委政法委副书记</w:t>
      </w:r>
    </w:p>
    <w:p>
      <w:pPr>
        <w:spacing w:line="520" w:lineRule="exact"/>
        <w:ind w:firstLine="320" w:firstLineChars="100"/>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尹承民</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市公安局党委副书记、交警大队党委书记</w:t>
      </w:r>
    </w:p>
    <w:p>
      <w:pPr>
        <w:spacing w:line="520" w:lineRule="exact"/>
        <w:ind w:firstLine="320" w:firstLineChars="100"/>
        <w:jc w:val="left"/>
        <w:rPr>
          <w:rFonts w:hint="eastAsia" w:ascii="仿宋_GB2312" w:hAnsi="仿宋" w:eastAsia="仿宋_GB2312"/>
          <w:sz w:val="32"/>
          <w:szCs w:val="32"/>
        </w:rPr>
      </w:pPr>
      <w:r>
        <w:rPr>
          <w:rFonts w:hint="eastAsia" w:ascii="仿宋_GB2312" w:hAnsi="仿宋" w:eastAsia="仿宋_GB2312"/>
          <w:sz w:val="32"/>
          <w:szCs w:val="32"/>
        </w:rPr>
        <w:t>成员：</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周</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东</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市法院副院长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sz w:val="32"/>
          <w:szCs w:val="32"/>
        </w:rPr>
        <w:t>张海强</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市检察院副检察长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sz w:val="32"/>
          <w:szCs w:val="32"/>
        </w:rPr>
        <w:t>张文华</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市教育和体育局党组成员</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sz w:val="32"/>
          <w:szCs w:val="32"/>
        </w:rPr>
        <w:t>王庆梅</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市卫生健康局副科级干部</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sz w:val="32"/>
          <w:szCs w:val="32"/>
        </w:rPr>
        <w:t>肖</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云</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市民政局二级主任科员</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sz w:val="32"/>
          <w:szCs w:val="32"/>
        </w:rPr>
        <w:t>李邦杰</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市司法局二级主任科员</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sz w:val="32"/>
          <w:szCs w:val="32"/>
        </w:rPr>
        <w:t>张新利</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市财政局副局长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sz w:val="32"/>
          <w:szCs w:val="32"/>
        </w:rPr>
        <w:t>张兴亮</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市交通运输行政执法大队党支部书记</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sz w:val="32"/>
          <w:szCs w:val="32"/>
        </w:rPr>
        <w:t>武家斌</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市农业行政执法大队大队长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sz w:val="32"/>
          <w:szCs w:val="32"/>
        </w:rPr>
        <w:t>姜庆军</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市自然资源和规划局副局长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sz w:val="32"/>
          <w:szCs w:val="32"/>
        </w:rPr>
        <w:t>付</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鹏</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市应急局副局长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sz w:val="32"/>
          <w:szCs w:val="32"/>
        </w:rPr>
        <w:t>楚红梅</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市市场监管局二级主任科员</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sz w:val="32"/>
          <w:szCs w:val="32"/>
        </w:rPr>
        <w:t>辛培富</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市电子商务服务中心主任</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sz w:val="32"/>
          <w:szCs w:val="32"/>
        </w:rPr>
        <w:t>张剑市</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文化产业发展中心主任</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sz w:val="32"/>
          <w:szCs w:val="32"/>
        </w:rPr>
        <w:t>张</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军</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市服务业发展中心副主任</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sz w:val="32"/>
          <w:szCs w:val="32"/>
        </w:rPr>
        <w:t>于建亮</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市总工会主任科员</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sz w:val="32"/>
          <w:szCs w:val="32"/>
        </w:rPr>
        <w:t>董</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刚</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团市委副书记</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sz w:val="32"/>
          <w:szCs w:val="32"/>
        </w:rPr>
        <w:t>王</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新</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市妇联副主席</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sz w:val="32"/>
          <w:szCs w:val="32"/>
        </w:rPr>
        <w:t>胡婷婷</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中国邮政集团肥城市分公司副总经理</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sz w:val="32"/>
          <w:szCs w:val="32"/>
        </w:rPr>
        <w:t>冷</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静</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人行肥城市支行副行长</w:t>
      </w:r>
    </w:p>
    <w:p>
      <w:pPr>
        <w:spacing w:line="520" w:lineRule="exact"/>
        <w:ind w:firstLine="320" w:firstLineChars="100"/>
        <w:jc w:val="left"/>
        <w:rPr>
          <w:rFonts w:hint="eastAsia" w:ascii="仿宋_GB2312" w:hAnsi="仿宋" w:eastAsia="仿宋_GB2312"/>
          <w:sz w:val="32"/>
          <w:szCs w:val="32"/>
        </w:rPr>
      </w:pPr>
      <w:r>
        <w:rPr>
          <w:rFonts w:hint="eastAsia" w:ascii="仿宋_GB2312" w:hAnsi="仿宋" w:eastAsia="仿宋_GB2312"/>
          <w:sz w:val="32"/>
          <w:szCs w:val="32"/>
        </w:rPr>
        <w:t>委员会办公室设在市公安局，尹承民兼任办公室主任。</w:t>
      </w:r>
    </w:p>
    <w:p>
      <w:pPr>
        <w:spacing w:line="520" w:lineRule="exact"/>
        <w:ind w:firstLine="320" w:firstLineChars="100"/>
        <w:jc w:val="left"/>
        <w:rPr>
          <w:rFonts w:hint="eastAsia" w:ascii="仿宋_GB2312" w:hAnsi="仿宋" w:eastAsia="仿宋_GB2312"/>
          <w:sz w:val="32"/>
          <w:szCs w:val="32"/>
        </w:rPr>
      </w:pPr>
      <w:r>
        <w:rPr>
          <w:rFonts w:hint="eastAsia" w:ascii="仿宋_GB2312" w:hAnsi="仿宋" w:eastAsia="仿宋_GB2312"/>
          <w:sz w:val="32"/>
          <w:szCs w:val="32"/>
        </w:rPr>
        <w:t>三、肥城市消防安全委员会</w:t>
      </w:r>
    </w:p>
    <w:p>
      <w:pPr>
        <w:spacing w:line="520" w:lineRule="exact"/>
        <w:ind w:firstLine="320" w:firstLineChars="100"/>
        <w:jc w:val="left"/>
        <w:rPr>
          <w:rFonts w:hint="eastAsia" w:ascii="仿宋_GB2312" w:hAnsi="仿宋" w:eastAsia="仿宋_GB2312"/>
          <w:sz w:val="32"/>
          <w:szCs w:val="32"/>
        </w:rPr>
      </w:pPr>
      <w:r>
        <w:rPr>
          <w:rFonts w:hint="eastAsia" w:ascii="仿宋_GB2312" w:hAnsi="仿宋" w:eastAsia="仿宋_GB2312"/>
          <w:sz w:val="32"/>
          <w:szCs w:val="32"/>
        </w:rPr>
        <w:t>主任：</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田茂金</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副市长、市公安局局长</w:t>
      </w:r>
    </w:p>
    <w:p>
      <w:pPr>
        <w:spacing w:line="520" w:lineRule="exact"/>
        <w:ind w:firstLine="320" w:firstLineChars="100"/>
        <w:jc w:val="left"/>
        <w:rPr>
          <w:rFonts w:hint="eastAsia" w:ascii="仿宋_GB2312" w:hAnsi="仿宋" w:eastAsia="仿宋_GB2312"/>
          <w:sz w:val="32"/>
          <w:szCs w:val="32"/>
        </w:rPr>
      </w:pPr>
      <w:r>
        <w:rPr>
          <w:rFonts w:hint="eastAsia" w:ascii="仿宋_GB2312" w:hAnsi="仿宋" w:eastAsia="仿宋_GB2312"/>
          <w:sz w:val="32"/>
          <w:szCs w:val="32"/>
        </w:rPr>
        <w:t>副主任：时向东</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市政府办公室副主任、民生服务中心主任</w:t>
      </w:r>
    </w:p>
    <w:p>
      <w:pPr>
        <w:spacing w:line="520" w:lineRule="exact"/>
        <w:ind w:firstLine="320" w:firstLineChars="100"/>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王小琳</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市委宣传部分管日常工作的副部长（正科级）</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sz w:val="32"/>
          <w:szCs w:val="32"/>
        </w:rPr>
        <w:t>辛显涛</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市应急局副局长</w:t>
      </w:r>
    </w:p>
    <w:p>
      <w:pPr>
        <w:spacing w:line="520" w:lineRule="exact"/>
        <w:ind w:firstLine="320" w:firstLineChars="100"/>
        <w:jc w:val="left"/>
        <w:rPr>
          <w:rFonts w:hint="eastAsia" w:ascii="仿宋_GB2312" w:hAnsi="仿宋" w:eastAsia="仿宋_GB2312"/>
          <w:sz w:val="32"/>
          <w:szCs w:val="32"/>
        </w:rPr>
      </w:pPr>
      <w:r>
        <w:rPr>
          <w:rFonts w:hint="eastAsia" w:ascii="仿宋_GB2312" w:hAnsi="仿宋" w:eastAsia="仿宋_GB2312"/>
          <w:sz w:val="32"/>
          <w:szCs w:val="32"/>
        </w:rPr>
        <w:t>成员：石</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杰</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市公安局党委副书记</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赵</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震</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市住房城乡建设局副局长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左现刚</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市教育和体育局党组成员</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尹效杰</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市民政局二级主任科员</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刘</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宾</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市发展改革局副局长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张新利</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市财政局副局长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张道毅</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市人力资源社会保障局副局长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张</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勇</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市旅游发展中心四级主任科员</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王</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斌</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市交通运输局副局长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崔</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平</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市卫生健康局副局长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朱玉山</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市工业发展促进中心主任</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张</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剑</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市文化产业发展中心主任</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刘士勇</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市生态林业发展中心副主任</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张爱民</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市融媒体中心副主任</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吴则金</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市气象局副局长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鹿焕勇</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市体育事业发展中心副主任</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王</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兵</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市市场监督行政执法大队大队长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武家斌</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市农业行政执法大队大队长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辛培富</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市电子商务服务中心主任</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李元元</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市委统战部四级主任科员</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武</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鸢</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市规划编研中心四级主任科员</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李炳兆</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市供销社四级主任科员</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王广乾</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市消防救援大队大队长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于建亮</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市总工会主任科员</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罗</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勇</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市水务集团有限公司总经理</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马德广</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市供电公司副总经理</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宋凯军</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市烟草专卖局副主任科员</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陈</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萌</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中国联通肥城分公司副总经理</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郭</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锐</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中国移动肥城分公司副总经理</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白立松</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中国电信肥城分公司副总经理</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徐吉常</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人行肥城市支行副行长</w:t>
      </w:r>
    </w:p>
    <w:p>
      <w:pPr>
        <w:spacing w:line="520" w:lineRule="exact"/>
        <w:ind w:firstLine="320" w:firstLineChars="100"/>
        <w:jc w:val="left"/>
        <w:rPr>
          <w:rFonts w:hint="eastAsia" w:ascii="仿宋_GB2312" w:hAnsi="仿宋" w:eastAsia="仿宋_GB2312"/>
          <w:sz w:val="32"/>
          <w:szCs w:val="32"/>
        </w:rPr>
      </w:pPr>
      <w:r>
        <w:rPr>
          <w:rFonts w:hint="eastAsia" w:ascii="仿宋_GB2312" w:hAnsi="仿宋" w:eastAsia="仿宋_GB2312"/>
          <w:sz w:val="32"/>
          <w:szCs w:val="32"/>
        </w:rPr>
        <w:t>委员会办公室设在市消防救援大队，王广乾兼任办公室主任。</w:t>
      </w:r>
    </w:p>
    <w:p>
      <w:pPr>
        <w:spacing w:line="520" w:lineRule="exact"/>
        <w:ind w:firstLine="320" w:firstLineChars="100"/>
        <w:jc w:val="left"/>
        <w:rPr>
          <w:rFonts w:hint="eastAsia" w:ascii="仿宋_GB2312" w:hAnsi="仿宋" w:eastAsia="仿宋_GB2312"/>
          <w:sz w:val="32"/>
          <w:szCs w:val="32"/>
        </w:rPr>
      </w:pPr>
      <w:r>
        <w:rPr>
          <w:rFonts w:hint="eastAsia" w:ascii="仿宋_GB2312" w:hAnsi="仿宋" w:eastAsia="仿宋_GB2312"/>
          <w:sz w:val="32"/>
          <w:szCs w:val="32"/>
        </w:rPr>
        <w:t>四、肥城市道路交通安全综合治理委员会</w:t>
      </w:r>
    </w:p>
    <w:p>
      <w:pPr>
        <w:spacing w:line="520" w:lineRule="exact"/>
        <w:ind w:firstLine="320" w:firstLineChars="100"/>
        <w:jc w:val="left"/>
        <w:rPr>
          <w:rFonts w:hint="eastAsia" w:ascii="仿宋_GB2312" w:hAnsi="仿宋" w:eastAsia="仿宋_GB2312"/>
          <w:sz w:val="32"/>
          <w:szCs w:val="32"/>
        </w:rPr>
      </w:pPr>
      <w:r>
        <w:rPr>
          <w:rFonts w:hint="eastAsia" w:ascii="仿宋_GB2312" w:hAnsi="仿宋" w:eastAsia="仿宋_GB2312"/>
          <w:sz w:val="32"/>
          <w:szCs w:val="32"/>
        </w:rPr>
        <w:t>主任：</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田茂金</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副市长、市公安局局长</w:t>
      </w:r>
    </w:p>
    <w:p>
      <w:pPr>
        <w:spacing w:line="520" w:lineRule="exact"/>
        <w:ind w:firstLine="320" w:firstLineChars="100"/>
        <w:jc w:val="left"/>
        <w:rPr>
          <w:rFonts w:hint="eastAsia" w:ascii="仿宋_GB2312" w:hAnsi="仿宋" w:eastAsia="仿宋_GB2312"/>
          <w:sz w:val="32"/>
          <w:szCs w:val="32"/>
        </w:rPr>
      </w:pPr>
      <w:r>
        <w:rPr>
          <w:rFonts w:hint="eastAsia" w:ascii="仿宋_GB2312" w:hAnsi="仿宋" w:eastAsia="仿宋_GB2312"/>
          <w:sz w:val="32"/>
          <w:szCs w:val="32"/>
        </w:rPr>
        <w:t>副主任：时向东</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市政府办公室副主任、民生服务中心主任</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sz w:val="32"/>
          <w:szCs w:val="32"/>
        </w:rPr>
        <w:t>艾</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东</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市交通运输局局长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sz w:val="32"/>
          <w:szCs w:val="32"/>
        </w:rPr>
        <w:t>辛显涛</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市应急局副局长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sz w:val="32"/>
          <w:szCs w:val="32"/>
        </w:rPr>
        <w:t>尹承民</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市公安局党委副书记、交警大队党委书记</w:t>
      </w:r>
    </w:p>
    <w:p>
      <w:pPr>
        <w:spacing w:line="520" w:lineRule="exact"/>
        <w:ind w:firstLine="320" w:firstLineChars="100"/>
        <w:jc w:val="left"/>
        <w:rPr>
          <w:rFonts w:hint="eastAsia" w:ascii="仿宋_GB2312" w:hAnsi="仿宋" w:eastAsia="仿宋_GB2312"/>
          <w:sz w:val="32"/>
          <w:szCs w:val="32"/>
        </w:rPr>
      </w:pPr>
      <w:r>
        <w:rPr>
          <w:rFonts w:hint="eastAsia" w:ascii="仿宋_GB2312" w:hAnsi="仿宋" w:eastAsia="仿宋_GB2312"/>
          <w:sz w:val="32"/>
          <w:szCs w:val="32"/>
        </w:rPr>
        <w:t>成员：刘</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宾</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市发展改革局副局长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潘庆荣</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市规划编研中心副主任</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于巧玲</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市科技局主任科员</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赵</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刚</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市行政审批服务局副局长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王宗河</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泰安生态环境局肥城分局主任科员</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苑</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敏</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市工业和信息化局副局长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张</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健</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市交通运输管理所所长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白恩田</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市公路事业发展中心副主任</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张军伟</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市招商中心副主任</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张新利</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市财政局副局长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王</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兵</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市市场监督行政执法大队大队长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刘传同</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市公安局交警大队大队长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武保华</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市公用事业发展中心主任</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王海龙</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市综合行政执法局副局长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刘松森</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市司法局副局长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左现刚</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市教育和体育局党组成员</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张</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剑</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市文化产业发展中心主任</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张</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勇</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市旅游发展中心四级主任科员</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郭庆芝</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市卫生健康局四级主任科员</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肖</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东</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市融媒体中心总编辑</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武家斌</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市农业行政执法大队大队长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吴则金</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市气象局副局长</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张现才</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市现代农业发展服务中心副主任</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许振炼</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泰安银保监分局肥城监管组二级主任科员</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李建宏</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市总工会二级主任科员</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董</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刚</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团市委副书记</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王</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新</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市妇联副主席</w:t>
      </w:r>
    </w:p>
    <w:p>
      <w:pPr>
        <w:spacing w:line="520" w:lineRule="exact"/>
        <w:jc w:val="left"/>
        <w:rPr>
          <w:rFonts w:hint="eastAsia" w:ascii="仿宋_GB2312" w:hAnsi="仿宋" w:eastAsia="仿宋_GB2312"/>
          <w:sz w:val="32"/>
          <w:szCs w:val="32"/>
        </w:rPr>
      </w:pPr>
      <w:r>
        <w:rPr>
          <w:rFonts w:hint="eastAsia" w:ascii="仿宋_GB2312" w:hAnsi="仿宋" w:eastAsia="仿宋_GB2312" w:cstheme="minorBidi"/>
          <w:kern w:val="2"/>
          <w:sz w:val="32"/>
          <w:szCs w:val="32"/>
          <w:lang w:val="en-US" w:eastAsia="zh-CN"/>
        </w:rPr>
        <w:t xml:space="preserve">    </w:t>
      </w:r>
      <w:r>
        <w:rPr>
          <w:rFonts w:hint="eastAsia" w:ascii="仿宋_GB2312" w:hAnsi="仿宋" w:eastAsia="仿宋_GB2312" w:cstheme="minorBidi"/>
          <w:kern w:val="2"/>
          <w:sz w:val="32"/>
          <w:szCs w:val="32"/>
        </w:rPr>
        <w:t xml:space="preserve">　  </w:t>
      </w:r>
      <w:r>
        <w:rPr>
          <w:rFonts w:hint="eastAsia" w:ascii="仿宋_GB2312" w:hAnsi="仿宋" w:eastAsia="仿宋_GB2312"/>
          <w:sz w:val="32"/>
          <w:szCs w:val="32"/>
        </w:rPr>
        <w:t>武同亮</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中国人保财险肥城支公司副总经理</w:t>
      </w:r>
    </w:p>
    <w:p>
      <w:pPr>
        <w:spacing w:line="520" w:lineRule="exact"/>
        <w:ind w:firstLine="320" w:firstLineChars="100"/>
        <w:jc w:val="left"/>
        <w:rPr>
          <w:rFonts w:hint="eastAsia" w:ascii="仿宋_GB2312" w:hAnsi="仿宋" w:eastAsia="仿宋_GB2312"/>
          <w:sz w:val="32"/>
          <w:szCs w:val="32"/>
        </w:rPr>
      </w:pPr>
      <w:r>
        <w:rPr>
          <w:rFonts w:hint="eastAsia" w:ascii="仿宋_GB2312" w:hAnsi="仿宋" w:eastAsia="仿宋_GB2312"/>
          <w:sz w:val="32"/>
          <w:szCs w:val="32"/>
        </w:rPr>
        <w:t>委员会办公室设在市公安局，尹承民兼任办公室主任，刘传同任副主任。</w:t>
      </w:r>
    </w:p>
    <w:p>
      <w:pPr>
        <w:spacing w:line="520" w:lineRule="exact"/>
        <w:jc w:val="right"/>
        <w:rPr>
          <w:rFonts w:hint="eastAsia" w:ascii="仿宋_GB2312" w:hAnsi="仿宋" w:eastAsia="仿宋_GB2312"/>
          <w:sz w:val="32"/>
          <w:szCs w:val="32"/>
        </w:rPr>
      </w:pPr>
    </w:p>
    <w:p>
      <w:pPr>
        <w:spacing w:line="520" w:lineRule="exact"/>
        <w:jc w:val="right"/>
        <w:rPr>
          <w:rFonts w:hint="eastAsia" w:ascii="仿宋_GB2312" w:hAnsi="仿宋" w:eastAsia="仿宋_GB2312"/>
          <w:sz w:val="32"/>
          <w:szCs w:val="32"/>
        </w:rPr>
      </w:pPr>
    </w:p>
    <w:p>
      <w:pPr>
        <w:spacing w:line="520" w:lineRule="exact"/>
        <w:jc w:val="right"/>
        <w:rPr>
          <w:rFonts w:hint="eastAsia" w:ascii="仿宋_GB2312" w:hAnsi="仿宋" w:eastAsia="仿宋_GB2312"/>
          <w:sz w:val="32"/>
          <w:szCs w:val="32"/>
        </w:rPr>
      </w:pPr>
      <w:r>
        <w:rPr>
          <w:rFonts w:hint="eastAsia" w:ascii="仿宋_GB2312" w:hAnsi="仿宋" w:eastAsia="仿宋_GB2312"/>
          <w:sz w:val="32"/>
          <w:szCs w:val="32"/>
        </w:rPr>
        <w:t>肥城市人民政府办公室</w:t>
      </w:r>
    </w:p>
    <w:p>
      <w:pPr>
        <w:spacing w:line="520" w:lineRule="exact"/>
        <w:jc w:val="right"/>
        <w:rPr>
          <w:rFonts w:hint="eastAsia" w:ascii="仿宋_GB2312" w:hAnsi="仿宋" w:eastAsia="仿宋_GB2312"/>
          <w:sz w:val="32"/>
          <w:szCs w:val="32"/>
        </w:rPr>
      </w:pPr>
      <w:r>
        <w:rPr>
          <w:rFonts w:hint="eastAsia" w:ascii="仿宋_GB2312" w:hAnsi="仿宋" w:eastAsia="仿宋_GB2312"/>
          <w:sz w:val="32"/>
          <w:szCs w:val="32"/>
        </w:rPr>
        <w:t>2020年4月20日 </w:t>
      </w:r>
    </w:p>
    <w:p>
      <w:pPr>
        <w:spacing w:line="520" w:lineRule="exact"/>
        <w:jc w:val="left"/>
        <w:rPr>
          <w:rFonts w:hint="eastAsia" w:ascii="仿宋_GB2312" w:hAnsi="仿宋" w:eastAsia="仿宋_GB2312"/>
          <w:sz w:val="32"/>
          <w:szCs w:val="32"/>
        </w:rPr>
      </w:pPr>
    </w:p>
    <w:p>
      <w:pPr>
        <w:spacing w:line="520" w:lineRule="exact"/>
        <w:jc w:val="left"/>
        <w:rPr>
          <w:rFonts w:hint="eastAsia" w:ascii="仿宋_GB2312" w:hAnsi="仿宋" w:eastAsia="仿宋_GB2312"/>
          <w:sz w:val="32"/>
          <w:szCs w:val="32"/>
        </w:rPr>
      </w:pPr>
    </w:p>
    <w:p>
      <w:pPr>
        <w:spacing w:line="520" w:lineRule="exact"/>
        <w:jc w:val="right"/>
        <w:rPr>
          <w:rFonts w:hint="eastAsia" w:ascii="仿宋_GB2312" w:hAnsi="仿宋" w:eastAsia="仿宋_GB2312"/>
          <w:sz w:val="32"/>
          <w:szCs w:val="32"/>
        </w:rPr>
      </w:pPr>
      <w:r>
        <w:rPr>
          <w:rFonts w:hint="eastAsia" w:ascii="仿宋_GB2312" w:hAnsi="仿宋" w:eastAsia="仿宋_GB2312"/>
          <w:sz w:val="32"/>
          <w:szCs w:val="32"/>
        </w:rPr>
        <w:t>肥城市人民政府办公室2020年4月20日印发</w:t>
      </w:r>
    </w:p>
    <w:p>
      <w:pPr>
        <w:spacing w:line="520" w:lineRule="exact"/>
        <w:jc w:val="left"/>
        <w:rPr>
          <w:rFonts w:hint="eastAsia" w:ascii="仿宋_GB2312" w:hAnsi="仿宋" w:eastAsia="仿宋_GB2312"/>
          <w:sz w:val="32"/>
          <w:szCs w:val="32"/>
        </w:rPr>
      </w:pPr>
    </w:p>
    <w:p>
      <w:pPr>
        <w:widowControl/>
        <w:shd w:val="clear" w:color="auto" w:fill="FFFFFF"/>
        <w:spacing w:line="240" w:lineRule="atLeast"/>
        <w:jc w:val="center"/>
        <w:rPr>
          <w:rFonts w:hint="eastAsia" w:ascii="宋体" w:hAnsi="宋体" w:eastAsia="宋体" w:cs="宋体"/>
          <w:sz w:val="44"/>
          <w:szCs w:val="44"/>
        </w:rPr>
      </w:pPr>
      <w:r>
        <w:rPr>
          <w:rFonts w:hint="eastAsia" w:ascii="宋体" w:hAnsi="宋体" w:eastAsia="宋体" w:cs="宋体"/>
          <w:sz w:val="44"/>
          <w:szCs w:val="44"/>
        </w:rPr>
        <w:t>肥城市人民政府办公室</w:t>
      </w:r>
    </w:p>
    <w:p>
      <w:pPr>
        <w:widowControl/>
        <w:shd w:val="clear" w:color="auto" w:fill="FFFFFF"/>
        <w:spacing w:line="240" w:lineRule="atLeast"/>
        <w:jc w:val="center"/>
        <w:rPr>
          <w:rFonts w:hint="eastAsia" w:ascii="宋体" w:hAnsi="宋体" w:eastAsia="宋体" w:cs="宋体"/>
          <w:sz w:val="44"/>
          <w:szCs w:val="44"/>
        </w:rPr>
      </w:pPr>
      <w:r>
        <w:rPr>
          <w:rFonts w:hint="eastAsia" w:ascii="宋体" w:hAnsi="宋体" w:eastAsia="宋体" w:cs="宋体"/>
          <w:sz w:val="44"/>
          <w:szCs w:val="44"/>
        </w:rPr>
        <w:t>关于成立或调整部分临时机构和议事协调机构的通知</w:t>
      </w:r>
    </w:p>
    <w:p>
      <w:pPr>
        <w:spacing w:line="520" w:lineRule="exact"/>
        <w:jc w:val="center"/>
        <w:rPr>
          <w:rFonts w:ascii="仿宋_GB2312" w:eastAsia="仿宋_GB2312" w:hAnsiTheme="minorEastAsia"/>
          <w:sz w:val="32"/>
          <w:szCs w:val="32"/>
        </w:rPr>
      </w:pPr>
    </w:p>
    <w:p>
      <w:pPr>
        <w:spacing w:line="520" w:lineRule="exact"/>
        <w:jc w:val="center"/>
        <w:rPr>
          <w:rFonts w:ascii="仿宋_GB2312" w:eastAsia="仿宋_GB2312" w:hAnsiTheme="minorEastAsia"/>
          <w:sz w:val="32"/>
          <w:szCs w:val="32"/>
        </w:rPr>
      </w:pPr>
      <w:r>
        <w:rPr>
          <w:rFonts w:hint="eastAsia" w:ascii="楷体_GB2312" w:eastAsia="楷体_GB2312" w:hAnsiTheme="minorEastAsia"/>
          <w:sz w:val="32"/>
          <w:szCs w:val="32"/>
        </w:rPr>
        <w:t>肥政办</w:t>
      </w:r>
      <w:r>
        <w:rPr>
          <w:rFonts w:hint="eastAsia" w:ascii="楷体_GB2312" w:eastAsia="楷体_GB2312" w:hAnsiTheme="minorEastAsia"/>
          <w:sz w:val="32"/>
          <w:szCs w:val="32"/>
          <w:lang w:val="en-US" w:eastAsia="zh-CN"/>
        </w:rPr>
        <w:t>字</w:t>
      </w:r>
      <w:r>
        <w:rPr>
          <w:rFonts w:hint="eastAsia" w:ascii="楷体_GB2312" w:eastAsia="楷体_GB2312" w:hAnsiTheme="minorEastAsia"/>
          <w:sz w:val="32"/>
          <w:szCs w:val="32"/>
        </w:rPr>
        <w:t>〔20</w:t>
      </w:r>
      <w:r>
        <w:rPr>
          <w:rFonts w:hint="eastAsia" w:ascii="楷体_GB2312" w:eastAsia="楷体_GB2312" w:hAnsiTheme="minorEastAsia"/>
          <w:sz w:val="32"/>
          <w:szCs w:val="32"/>
          <w:lang w:val="en-US" w:eastAsia="zh-CN"/>
        </w:rPr>
        <w:t>20</w:t>
      </w:r>
      <w:r>
        <w:rPr>
          <w:rFonts w:hint="eastAsia" w:ascii="楷体_GB2312" w:eastAsia="楷体_GB2312" w:hAnsiTheme="minorEastAsia"/>
          <w:sz w:val="32"/>
          <w:szCs w:val="32"/>
        </w:rPr>
        <w:t>〕7号</w:t>
      </w:r>
    </w:p>
    <w:p>
      <w:pPr>
        <w:spacing w:line="520" w:lineRule="exact"/>
        <w:jc w:val="left"/>
        <w:rPr>
          <w:rFonts w:hint="eastAsia" w:ascii="仿宋_GB2312" w:hAnsi="仿宋" w:eastAsia="仿宋_GB2312"/>
          <w:sz w:val="32"/>
          <w:szCs w:val="32"/>
        </w:rPr>
      </w:pPr>
      <w:r>
        <w:rPr>
          <w:rFonts w:hint="eastAsia" w:ascii="仿宋_GB2312" w:hAnsi="仿宋" w:eastAsia="仿宋_GB2312"/>
          <w:sz w:val="32"/>
          <w:szCs w:val="32"/>
        </w:rPr>
        <w:t>各镇人民政府、街道办事处，高新区、经开区，市政府各部门、各直属机构、市属以上驻肥各单位：</w:t>
      </w:r>
    </w:p>
    <w:p>
      <w:pPr>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经市人才及科技创新工作领导小组研究，并报市政府批准，现将第三届“桃都和谐使者”名单（共20名）公布如下：</w:t>
      </w:r>
    </w:p>
    <w:p>
      <w:pPr>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丁传奇</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汶阳镇沟西村党支部书记兼村村主任</w:t>
      </w:r>
    </w:p>
    <w:p>
      <w:pPr>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刁庆庆（女）</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肥城市特殊教育学校教师</w:t>
      </w:r>
    </w:p>
    <w:p>
      <w:pPr>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王英良</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桃园镇屯头村党支部书记</w:t>
      </w:r>
    </w:p>
    <w:p>
      <w:pPr>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邓爱菊（女）</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安临站镇敬老院院长</w:t>
      </w:r>
    </w:p>
    <w:p>
      <w:pPr>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付桂英（女）</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湖屯镇有益村主任</w:t>
      </w:r>
    </w:p>
    <w:p>
      <w:pPr>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邢伟忠</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桃花源派出所副所长</w:t>
      </w:r>
    </w:p>
    <w:p>
      <w:pPr>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孙绪民</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新城街道孙家小庄党支部书记兼村主任</w:t>
      </w:r>
    </w:p>
    <w:p>
      <w:pPr>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杜</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华（女）</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新城街道河西社区居委会主任</w:t>
      </w:r>
    </w:p>
    <w:p>
      <w:pPr>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李</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宁（女）</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肥城市总工会社会化工作者</w:t>
      </w:r>
    </w:p>
    <w:p>
      <w:pPr>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杨</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琴（女）</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肥城市文化志愿者合唱团团长</w:t>
      </w:r>
    </w:p>
    <w:p>
      <w:pPr>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宋慧东（女）</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边院镇派出所辅警、肥城市爱心公益协会副会长</w:t>
      </w:r>
    </w:p>
    <w:p>
      <w:pPr>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张海琴（女）</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新城街道丰园社区居委会主任</w:t>
      </w:r>
    </w:p>
    <w:p>
      <w:pPr>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陈淑敏（女）</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肥城市残疾人联合会康复部副部长</w:t>
      </w:r>
    </w:p>
    <w:p>
      <w:pPr>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赵</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华（女）</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山东卓知律师事务所副主任</w:t>
      </w:r>
    </w:p>
    <w:p>
      <w:pPr>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钟</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杰</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肥城市山医康养中心院长</w:t>
      </w:r>
    </w:p>
    <w:p>
      <w:pPr>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袁化朋</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肥城市蓝水滴助残公益发展中心主任</w:t>
      </w:r>
    </w:p>
    <w:p>
      <w:pPr>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聂倩玲（女）</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肥城市特殊教育学校教师</w:t>
      </w:r>
    </w:p>
    <w:p>
      <w:pPr>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高帅湖</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屯镇残联理事长</w:t>
      </w:r>
    </w:p>
    <w:p>
      <w:pPr>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鹿</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峰</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潮泉镇下寨村党支部书记兼村主任</w:t>
      </w:r>
    </w:p>
    <w:p>
      <w:pPr>
        <w:spacing w:line="52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梁海林</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肥城市淼鑫梁氏康复医院院长</w:t>
      </w:r>
    </w:p>
    <w:p>
      <w:pPr>
        <w:spacing w:line="520" w:lineRule="exact"/>
        <w:jc w:val="left"/>
        <w:rPr>
          <w:rFonts w:hint="eastAsia" w:ascii="仿宋_GB2312" w:hAnsi="仿宋" w:eastAsia="仿宋_GB2312"/>
          <w:sz w:val="32"/>
          <w:szCs w:val="32"/>
        </w:rPr>
      </w:pPr>
    </w:p>
    <w:p>
      <w:pPr>
        <w:spacing w:line="520" w:lineRule="exact"/>
        <w:jc w:val="right"/>
        <w:rPr>
          <w:rFonts w:hint="eastAsia" w:ascii="仿宋_GB2312" w:hAnsi="仿宋" w:eastAsia="仿宋_GB2312"/>
          <w:sz w:val="32"/>
          <w:szCs w:val="32"/>
        </w:rPr>
      </w:pPr>
      <w:r>
        <w:rPr>
          <w:rFonts w:hint="eastAsia" w:ascii="仿宋_GB2312" w:hAnsi="仿宋" w:eastAsia="仿宋_GB2312"/>
          <w:sz w:val="32"/>
          <w:szCs w:val="32"/>
        </w:rPr>
        <w:t>肥城市人民政府办公室</w:t>
      </w:r>
    </w:p>
    <w:p>
      <w:pPr>
        <w:spacing w:line="520" w:lineRule="exact"/>
        <w:jc w:val="right"/>
        <w:rPr>
          <w:rFonts w:hint="eastAsia" w:ascii="仿宋_GB2312" w:hAnsi="仿宋" w:eastAsia="仿宋_GB2312"/>
          <w:sz w:val="32"/>
          <w:szCs w:val="32"/>
        </w:rPr>
      </w:pPr>
      <w:r>
        <w:rPr>
          <w:rFonts w:hint="eastAsia" w:ascii="仿宋_GB2312" w:hAnsi="仿宋" w:eastAsia="仿宋_GB2312"/>
          <w:sz w:val="32"/>
          <w:szCs w:val="32"/>
        </w:rPr>
        <w:t>2020年4月20日</w:t>
      </w:r>
    </w:p>
    <w:p>
      <w:pPr>
        <w:spacing w:line="520" w:lineRule="exact"/>
        <w:jc w:val="right"/>
        <w:rPr>
          <w:rFonts w:hint="eastAsia" w:ascii="仿宋_GB2312" w:hAnsi="仿宋" w:eastAsia="仿宋_GB2312"/>
          <w:sz w:val="32"/>
          <w:szCs w:val="32"/>
        </w:rPr>
      </w:pPr>
      <w:r>
        <w:rPr>
          <w:rFonts w:hint="eastAsia" w:ascii="仿宋_GB2312" w:hAnsi="仿宋" w:eastAsia="仿宋_GB2312"/>
          <w:sz w:val="32"/>
          <w:szCs w:val="32"/>
        </w:rPr>
        <w:t>（此件公开发布）</w:t>
      </w:r>
    </w:p>
    <w:p>
      <w:pPr>
        <w:spacing w:line="520" w:lineRule="exact"/>
        <w:jc w:val="left"/>
        <w:rPr>
          <w:rFonts w:hint="eastAsia" w:ascii="仿宋_GB2312" w:hAnsi="仿宋" w:eastAsia="仿宋_GB2312"/>
          <w:sz w:val="32"/>
          <w:szCs w:val="32"/>
        </w:rPr>
      </w:pPr>
    </w:p>
    <w:p>
      <w:pPr>
        <w:spacing w:line="520" w:lineRule="exact"/>
        <w:jc w:val="right"/>
        <w:rPr>
          <w:rFonts w:hint="eastAsia" w:ascii="仿宋_GB2312" w:hAnsi="仿宋" w:eastAsia="仿宋_GB2312"/>
          <w:sz w:val="32"/>
          <w:szCs w:val="32"/>
        </w:rPr>
      </w:pPr>
      <w:r>
        <w:rPr>
          <w:rFonts w:hint="eastAsia" w:ascii="仿宋_GB2312" w:hAnsi="仿宋" w:eastAsia="仿宋_GB2312"/>
          <w:sz w:val="32"/>
          <w:szCs w:val="32"/>
        </w:rPr>
        <w:t>肥城市人民政府办公室2020年4月20日印发</w:t>
      </w:r>
    </w:p>
    <w:p>
      <w:pPr>
        <w:spacing w:line="520" w:lineRule="exact"/>
        <w:jc w:val="left"/>
        <w:rPr>
          <w:rFonts w:ascii="仿宋_GB2312" w:eastAsia="仿宋_GB2312" w:hAnsiTheme="minorEastAsia"/>
          <w:sz w:val="32"/>
          <w:szCs w:val="32"/>
        </w:rPr>
      </w:pPr>
    </w:p>
    <w:p>
      <w:pPr>
        <w:widowControl/>
        <w:shd w:val="clear" w:color="auto" w:fill="FFFFFF"/>
        <w:spacing w:line="240" w:lineRule="atLeast"/>
        <w:jc w:val="center"/>
        <w:rPr>
          <w:rFonts w:hint="eastAsia" w:ascii="宋体" w:hAnsi="宋体" w:eastAsia="宋体" w:cs="宋体"/>
          <w:sz w:val="44"/>
          <w:szCs w:val="44"/>
        </w:rPr>
      </w:pPr>
      <w:r>
        <w:rPr>
          <w:rFonts w:hint="eastAsia" w:ascii="宋体" w:hAnsi="宋体" w:eastAsia="宋体" w:cs="宋体"/>
          <w:sz w:val="44"/>
          <w:szCs w:val="44"/>
        </w:rPr>
        <w:t>肥城市人民政府办公室</w:t>
      </w:r>
    </w:p>
    <w:p>
      <w:pPr>
        <w:widowControl/>
        <w:shd w:val="clear" w:color="auto" w:fill="FFFFFF"/>
        <w:spacing w:line="240" w:lineRule="atLeast"/>
        <w:jc w:val="center"/>
        <w:rPr>
          <w:rFonts w:hint="eastAsia" w:ascii="宋体" w:hAnsi="宋体" w:eastAsia="宋体" w:cs="宋体"/>
          <w:sz w:val="44"/>
          <w:szCs w:val="44"/>
        </w:rPr>
      </w:pPr>
      <w:r>
        <w:rPr>
          <w:rFonts w:hint="eastAsia" w:ascii="宋体" w:hAnsi="宋体" w:eastAsia="宋体" w:cs="宋体"/>
          <w:sz w:val="44"/>
          <w:szCs w:val="44"/>
        </w:rPr>
        <w:t>关于印发《肥城市免疫无口蹄疫区和</w:t>
      </w:r>
    </w:p>
    <w:p>
      <w:pPr>
        <w:widowControl/>
        <w:shd w:val="clear" w:color="auto" w:fill="FFFFFF"/>
        <w:spacing w:line="240" w:lineRule="atLeast"/>
        <w:jc w:val="center"/>
        <w:rPr>
          <w:rFonts w:hint="eastAsia" w:ascii="宋体" w:hAnsi="宋体" w:eastAsia="宋体" w:cs="宋体"/>
          <w:sz w:val="44"/>
          <w:szCs w:val="44"/>
        </w:rPr>
      </w:pPr>
      <w:r>
        <w:rPr>
          <w:rFonts w:hint="eastAsia" w:ascii="宋体" w:hAnsi="宋体" w:eastAsia="宋体" w:cs="宋体"/>
          <w:sz w:val="44"/>
          <w:szCs w:val="44"/>
        </w:rPr>
        <w:t>无高致病性禽流感区建设实施方案》的通知</w:t>
      </w:r>
    </w:p>
    <w:p>
      <w:pPr>
        <w:spacing w:line="520" w:lineRule="exact"/>
        <w:jc w:val="center"/>
        <w:rPr>
          <w:rFonts w:ascii="仿宋_GB2312" w:eastAsia="仿宋_GB2312" w:hAnsiTheme="minorEastAsia"/>
          <w:sz w:val="32"/>
          <w:szCs w:val="32"/>
        </w:rPr>
      </w:pPr>
    </w:p>
    <w:p>
      <w:pPr>
        <w:spacing w:line="520" w:lineRule="exact"/>
        <w:jc w:val="center"/>
        <w:rPr>
          <w:rFonts w:ascii="楷体_GB2312" w:eastAsia="楷体_GB2312" w:hAnsiTheme="minorEastAsia"/>
          <w:sz w:val="32"/>
          <w:szCs w:val="32"/>
        </w:rPr>
      </w:pPr>
      <w:r>
        <w:rPr>
          <w:rFonts w:hint="eastAsia" w:ascii="楷体_GB2312" w:eastAsia="楷体_GB2312" w:hAnsiTheme="minorEastAsia"/>
          <w:sz w:val="32"/>
          <w:szCs w:val="32"/>
        </w:rPr>
        <w:t>肥政办</w:t>
      </w:r>
      <w:r>
        <w:rPr>
          <w:rFonts w:hint="eastAsia" w:ascii="楷体_GB2312" w:eastAsia="楷体_GB2312" w:hAnsiTheme="minorEastAsia"/>
          <w:sz w:val="32"/>
          <w:szCs w:val="32"/>
          <w:lang w:val="en-US" w:eastAsia="zh-CN"/>
        </w:rPr>
        <w:t>字</w:t>
      </w:r>
      <w:r>
        <w:rPr>
          <w:rFonts w:hint="eastAsia" w:ascii="楷体_GB2312" w:eastAsia="楷体_GB2312" w:hAnsiTheme="minorEastAsia"/>
          <w:sz w:val="32"/>
          <w:szCs w:val="32"/>
        </w:rPr>
        <w:t>〔20</w:t>
      </w:r>
      <w:r>
        <w:rPr>
          <w:rFonts w:hint="eastAsia" w:ascii="楷体_GB2312" w:eastAsia="楷体_GB2312" w:hAnsiTheme="minorEastAsia"/>
          <w:sz w:val="32"/>
          <w:szCs w:val="32"/>
          <w:lang w:val="en-US" w:eastAsia="zh-CN"/>
        </w:rPr>
        <w:t>20</w:t>
      </w:r>
      <w:r>
        <w:rPr>
          <w:rFonts w:hint="eastAsia" w:ascii="楷体_GB2312" w:eastAsia="楷体_GB2312" w:hAnsiTheme="minorEastAsia"/>
          <w:sz w:val="32"/>
          <w:szCs w:val="32"/>
        </w:rPr>
        <w:t>〕</w:t>
      </w:r>
      <w:r>
        <w:rPr>
          <w:rFonts w:hint="eastAsia" w:ascii="楷体_GB2312" w:eastAsia="楷体_GB2312" w:hAnsiTheme="minorEastAsia"/>
          <w:sz w:val="32"/>
          <w:szCs w:val="32"/>
          <w:lang w:val="en-US" w:eastAsia="zh-CN"/>
        </w:rPr>
        <w:t>7</w:t>
      </w:r>
      <w:r>
        <w:rPr>
          <w:rFonts w:hint="eastAsia" w:ascii="楷体_GB2312" w:eastAsia="楷体_GB2312" w:hAnsiTheme="minorEastAsia"/>
          <w:sz w:val="32"/>
          <w:szCs w:val="32"/>
        </w:rPr>
        <w:t>号</w:t>
      </w:r>
    </w:p>
    <w:p>
      <w:pPr>
        <w:spacing w:line="520" w:lineRule="exact"/>
        <w:jc w:val="center"/>
        <w:rPr>
          <w:rFonts w:ascii="仿宋_GB2312" w:eastAsia="仿宋_GB2312" w:hAnsiTheme="minorEastAsia"/>
          <w:sz w:val="32"/>
          <w:szCs w:val="32"/>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各镇人民政府、街道办事处，高新区、经开区，市政府各部门、各直属机构，市属以上驻肥各单位：</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《肥城市免疫无口蹄疫区和无高致病性禽流感区建设实施方案》已经市政府同意，现印发给你们，请认真组织实施。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left"/>
        <w:rPr>
          <w:rFonts w:hint="eastAsia" w:ascii="仿宋_GB2312" w:hAnsi="仿宋" w:eastAsia="仿宋_GB2312"/>
          <w:sz w:val="32"/>
          <w:szCs w:val="32"/>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right"/>
        <w:rPr>
          <w:rFonts w:hint="eastAsia" w:ascii="仿宋_GB2312" w:hAnsi="仿宋" w:eastAsia="仿宋_GB2312"/>
          <w:sz w:val="32"/>
          <w:szCs w:val="32"/>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right"/>
        <w:rPr>
          <w:rFonts w:hint="eastAsia" w:ascii="仿宋_GB2312" w:hAnsi="仿宋" w:eastAsia="仿宋_GB2312"/>
          <w:sz w:val="32"/>
          <w:szCs w:val="32"/>
        </w:rPr>
      </w:pPr>
      <w:r>
        <w:rPr>
          <w:rFonts w:hint="eastAsia" w:ascii="仿宋_GB2312" w:hAnsi="仿宋" w:eastAsia="仿宋_GB2312"/>
          <w:sz w:val="32"/>
          <w:szCs w:val="32"/>
        </w:rPr>
        <w:t>肥城市人民政府办公室</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right"/>
        <w:rPr>
          <w:rFonts w:hint="eastAsia" w:ascii="仿宋_GB2312" w:hAnsi="仿宋" w:eastAsia="仿宋_GB2312"/>
          <w:sz w:val="32"/>
          <w:szCs w:val="32"/>
        </w:rPr>
      </w:pPr>
      <w:r>
        <w:rPr>
          <w:rFonts w:hint="eastAsia" w:ascii="仿宋_GB2312" w:hAnsi="仿宋" w:eastAsia="仿宋_GB2312"/>
          <w:sz w:val="32"/>
          <w:szCs w:val="32"/>
        </w:rPr>
        <w:t>2020年5月11日</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right"/>
        <w:rPr>
          <w:rFonts w:hint="eastAsia" w:ascii="仿宋_GB2312" w:hAnsi="仿宋" w:eastAsia="仿宋_GB2312"/>
          <w:sz w:val="32"/>
          <w:szCs w:val="32"/>
        </w:rPr>
      </w:pPr>
      <w:r>
        <w:rPr>
          <w:rFonts w:hint="eastAsia" w:ascii="仿宋_GB2312" w:hAnsi="仿宋" w:eastAsia="仿宋_GB2312"/>
          <w:sz w:val="32"/>
          <w:szCs w:val="32"/>
        </w:rPr>
        <w:t>（此件公开发布）</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left"/>
        <w:rPr>
          <w:rFonts w:hint="eastAsia" w:ascii="宋体" w:hAnsi="宋体" w:eastAsia="宋体" w:cs="宋体"/>
          <w:sz w:val="32"/>
          <w:szCs w:val="32"/>
        </w:rPr>
      </w:pPr>
    </w:p>
    <w:p>
      <w:pPr>
        <w:jc w:val="center"/>
        <w:rPr>
          <w:rFonts w:hint="eastAsia" w:ascii="宋体" w:hAnsi="宋体" w:eastAsia="宋体" w:cs="宋体"/>
          <w:kern w:val="2"/>
          <w:sz w:val="36"/>
          <w:szCs w:val="36"/>
          <w:lang w:val="en-US" w:eastAsia="zh-CN"/>
        </w:rPr>
      </w:pPr>
      <w:r>
        <w:rPr>
          <w:rFonts w:hint="eastAsia" w:ascii="宋体" w:hAnsi="宋体" w:eastAsia="宋体" w:cs="宋体"/>
          <w:kern w:val="2"/>
          <w:sz w:val="36"/>
          <w:szCs w:val="36"/>
          <w:lang w:val="en-US" w:eastAsia="zh-CN"/>
        </w:rPr>
        <w:t>肥城市免疫无口蹄疫区和无高致病性禽流感区</w:t>
      </w:r>
    </w:p>
    <w:p>
      <w:pPr>
        <w:jc w:val="center"/>
        <w:rPr>
          <w:rFonts w:hint="eastAsia" w:ascii="宋体" w:hAnsi="宋体" w:eastAsia="宋体" w:cs="宋体"/>
          <w:kern w:val="2"/>
          <w:sz w:val="36"/>
          <w:szCs w:val="36"/>
          <w:lang w:val="en-US" w:eastAsia="zh-CN"/>
        </w:rPr>
      </w:pPr>
      <w:r>
        <w:rPr>
          <w:rFonts w:hint="eastAsia" w:ascii="宋体" w:hAnsi="宋体" w:eastAsia="宋体" w:cs="宋体"/>
          <w:kern w:val="2"/>
          <w:sz w:val="36"/>
          <w:szCs w:val="36"/>
          <w:lang w:val="en-US" w:eastAsia="zh-CN"/>
        </w:rPr>
        <w:t>建设实施方案</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left"/>
        <w:rPr>
          <w:rFonts w:hint="eastAsia" w:ascii="仿宋_GB2312" w:hAnsi="仿宋" w:eastAsia="仿宋_GB2312"/>
          <w:sz w:val="32"/>
          <w:szCs w:val="32"/>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为全面推进动物疫病区域化管理，提高动物疫病防治能力和水平，全面推进我市免疫无口蹄疫区和无高致病性禽流感区（以下简称无疫市）建设，根据《山东省人民政府办公厅关于印发&lt;山东省免疫无口蹄疫区和无高致病性禽流感区建设方案&gt;的通知》（鲁政办字〔2019〕21号）、《泰安市人民政府办公室关于印发&lt;泰安市免疫无口蹄疫区和无高致病性禽流感区建设方案&gt;的通知》（泰政办字〔2019〕52号）、《肥城市中长期动物疫病防治规划（2013—2020年）》精神，结合我市实际，制定本实施方案。</w:t>
      </w:r>
    </w:p>
    <w:p>
      <w:pPr>
        <w:ind w:firstLine="640" w:firstLineChars="200"/>
        <w:rPr>
          <w:rFonts w:hint="eastAsia" w:ascii="黑体" w:hAnsi="黑体" w:eastAsia="黑体"/>
          <w:sz w:val="32"/>
          <w:szCs w:val="32"/>
        </w:rPr>
      </w:pPr>
      <w:r>
        <w:rPr>
          <w:rFonts w:hint="eastAsia" w:ascii="黑体" w:hAnsi="黑体" w:eastAsia="黑体"/>
          <w:sz w:val="32"/>
          <w:szCs w:val="32"/>
        </w:rPr>
        <w:t>一、建设目标</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通过无疫市建设，达到国家规定的免疫无口蹄疫区和无高致病性禽流感区建设标准。2021年上半年完成自评和市级评估，下半年通过省级评估，2022 年通过国家评估。</w:t>
      </w:r>
    </w:p>
    <w:p>
      <w:pPr>
        <w:ind w:firstLine="640" w:firstLineChars="200"/>
        <w:rPr>
          <w:rFonts w:hint="eastAsia" w:ascii="黑体" w:hAnsi="黑体" w:eastAsia="黑体"/>
          <w:sz w:val="32"/>
          <w:szCs w:val="32"/>
        </w:rPr>
      </w:pPr>
      <w:r>
        <w:rPr>
          <w:rFonts w:hint="eastAsia" w:ascii="黑体" w:hAnsi="黑体" w:eastAsia="黑体"/>
          <w:sz w:val="32"/>
          <w:szCs w:val="32"/>
        </w:rPr>
        <w:t>二、重点任务</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1.加强动物防疫检疫机构队伍建设。强化市、镇两级防疫检疫机构建设，配齐配强与防疫检疫机构匹配的工作力量。推行村级动物防疫员管理制度改革，实行网格化管理，切实提升基层动物防疫能力。</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2.加强动物防疫档案规范化建设。加强防疫档案管理建设，统一标准、规范管理，确保养殖档案、强制免疫、监测预警、检疫监督、执法办案、应急管理等各项防疫档案统一齐全、上下对应、规范可溯。</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3.加强动物疫病预防机制建设。加强强制免疫疫苗冷链设施设备配备工作，健全完善市、镇、村三级冷链，加大强制免疫疫苗运输、储藏、使用的监管力度。落实生产经营者动物免疫主体责任，严格执行强制免疫、封闭管理、环境消毒、病死畜禽及其产品无害化处理、运输车辆消毒等防控措施，提升动物疫病安全防护能力。</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4.加强疫情监测预警机制建设。强化兽医实验室建设，加大人员配备和技术培训力度，提高病原学检测能力。依法规范疫情信息管理，严格落实疫情报告制度和疫情线索举报核查制度，及时排除疫情隐患。</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5.强化动物卫生监管能力。依法实施产地检疫、屠宰检疫，实现对养殖场、屠宰场等重点场所的全面监管、全程可溯。加强病死畜禽无害化处理监管，确保病死畜禽及时处置。</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6.提升防疫应急管理水平。加强市、镇两级应急物资储备工作，做到及时更新补充，切实保障疫情处置需要。加强应急预备队伍建设，定期组织开展应急培训演练，提升突发事件应急处置能力。</w:t>
      </w:r>
    </w:p>
    <w:p>
      <w:pPr>
        <w:ind w:firstLine="640" w:firstLineChars="200"/>
        <w:rPr>
          <w:rFonts w:hint="eastAsia" w:ascii="黑体" w:hAnsi="黑体" w:eastAsia="黑体"/>
          <w:sz w:val="32"/>
          <w:szCs w:val="32"/>
        </w:rPr>
      </w:pPr>
      <w:r>
        <w:rPr>
          <w:rFonts w:hint="eastAsia" w:ascii="黑体" w:hAnsi="黑体" w:eastAsia="黑体"/>
          <w:sz w:val="32"/>
          <w:szCs w:val="32"/>
        </w:rPr>
        <w:t>三、保障措施</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（一）加强组织领导。市政府成立无疫市建设工作领导小组，负责无疫市建设组织协调和监督指导工作。各镇街区、相关部门单位要加大工作力度，搞好协调配合，确保工作扎实顺利开展。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二）明确职责分工。市畜牧兽医服务中心负责牵头组织实施具体建设工作；市发改局负责无疫市建设项目的立项审批工作；市财政局为无疫市建设提供资金保障支持；市自然资源和规划局负责做好无疫市建设用地的审批工作；市农业综合执法大队负责检疫以及动物防疫相关监督管理执法工作；市生态林业发展中心负责野生易感动物规定动物疫病防控工作；市交运局负责指导交通要道无疫市标志设置，协同做好动物及动物产品运输环节监管工作；市市场监管局负责畜禽产品流通加工餐饮环节的监管工作，重点抓好食用农产品集中交易市场、餐饮服务单位、商场超市、冷库等场所的日常监督检查，依法查处冷库和冷冻肉经营者的违法经营行为。</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三）强化指导培训。市畜牧兽医服务中心负责组建专家组，对无疫市建设全过程提供技术指导。推进大数据、快速检测等智能化技术应用，提升动物疫病防控信息化水平。加强无疫市建设制度机制、技术规范、评审标准等方面培训，提升无疫市建设工作水平。</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四）营造宣传氛围。加强无疫市建设管理宣传教育工作，利用各种宣传手段，对生产经营者、社会公众进行知情教育，普及法律法规制度知识，督促养殖场户落实生产经营者动物防疫主体责任，形成生产经营者主动参与、社会公众普遍关注的良好氛围。</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left"/>
        <w:rPr>
          <w:rFonts w:hint="eastAsia" w:ascii="仿宋_GB2312" w:hAnsi="仿宋" w:eastAsia="仿宋_GB2312"/>
          <w:sz w:val="32"/>
          <w:szCs w:val="32"/>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jc w:val="left"/>
        <w:rPr>
          <w:rFonts w:hint="eastAsia" w:ascii="仿宋_GB2312" w:hAnsi="仿宋" w:eastAsia="仿宋_GB2312"/>
          <w:sz w:val="32"/>
          <w:szCs w:val="32"/>
        </w:rPr>
      </w:pPr>
      <w:r>
        <w:rPr>
          <w:rFonts w:hint="eastAsia" w:ascii="仿宋_GB2312" w:hAnsi="仿宋" w:eastAsia="仿宋_GB2312"/>
          <w:sz w:val="32"/>
          <w:szCs w:val="32"/>
        </w:rPr>
        <w:t>附件：肥城市无疫区建设工作领导小组附件</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left"/>
        <w:rPr>
          <w:rFonts w:hint="eastAsia" w:ascii="仿宋_GB2312" w:hAnsi="仿宋" w:eastAsia="仿宋_GB2312"/>
          <w:sz w:val="32"/>
          <w:szCs w:val="32"/>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肥城市无疫区建设工作领导小组</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left"/>
        <w:rPr>
          <w:rFonts w:hint="eastAsia" w:ascii="仿宋_GB2312" w:hAnsi="仿宋" w:eastAsia="仿宋_GB2312"/>
          <w:sz w:val="32"/>
          <w:szCs w:val="32"/>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组长：</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陈正一</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副市长</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副组长：时向东</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市政府办公室副主任、民生服务中心主任</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傅</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强</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市农业农村局局长</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赵</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伟</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市畜牧兽医服务中心主任</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成员：</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刘</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宾</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市发展改革局副局长</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1920" w:firstLineChars="600"/>
        <w:jc w:val="left"/>
        <w:rPr>
          <w:rFonts w:hint="eastAsia" w:ascii="仿宋_GB2312" w:hAnsi="仿宋" w:eastAsia="仿宋_GB2312"/>
          <w:sz w:val="32"/>
          <w:szCs w:val="32"/>
        </w:rPr>
      </w:pPr>
      <w:r>
        <w:rPr>
          <w:rFonts w:hint="eastAsia" w:ascii="仿宋_GB2312" w:hAnsi="仿宋" w:eastAsia="仿宋_GB2312"/>
          <w:sz w:val="32"/>
          <w:szCs w:val="32"/>
        </w:rPr>
        <w:t>张新利</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市财政局副局长</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1920" w:firstLineChars="600"/>
        <w:jc w:val="left"/>
        <w:rPr>
          <w:rFonts w:hint="eastAsia" w:ascii="仿宋_GB2312" w:hAnsi="仿宋" w:eastAsia="仿宋_GB2312"/>
          <w:sz w:val="32"/>
          <w:szCs w:val="32"/>
        </w:rPr>
      </w:pPr>
      <w:r>
        <w:rPr>
          <w:rFonts w:hint="eastAsia" w:ascii="仿宋_GB2312" w:hAnsi="仿宋" w:eastAsia="仿宋_GB2312"/>
          <w:sz w:val="32"/>
          <w:szCs w:val="32"/>
        </w:rPr>
        <w:t>李振涛</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市市场监管局副局长</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1920" w:firstLineChars="600"/>
        <w:jc w:val="left"/>
        <w:rPr>
          <w:rFonts w:hint="eastAsia" w:ascii="仿宋_GB2312" w:hAnsi="仿宋" w:eastAsia="仿宋_GB2312"/>
          <w:sz w:val="32"/>
          <w:szCs w:val="32"/>
        </w:rPr>
      </w:pPr>
      <w:r>
        <w:rPr>
          <w:rFonts w:hint="eastAsia" w:ascii="仿宋_GB2312" w:hAnsi="仿宋" w:eastAsia="仿宋_GB2312"/>
          <w:sz w:val="32"/>
          <w:szCs w:val="32"/>
        </w:rPr>
        <w:t>肖明泉</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市生态林业发展中心副主任</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1920" w:firstLineChars="600"/>
        <w:jc w:val="left"/>
        <w:rPr>
          <w:rFonts w:hint="eastAsia" w:ascii="仿宋_GB2312" w:hAnsi="仿宋" w:eastAsia="仿宋_GB2312"/>
          <w:sz w:val="32"/>
          <w:szCs w:val="32"/>
        </w:rPr>
      </w:pPr>
      <w:r>
        <w:rPr>
          <w:rFonts w:hint="eastAsia" w:ascii="仿宋_GB2312" w:hAnsi="仿宋" w:eastAsia="仿宋_GB2312"/>
          <w:sz w:val="32"/>
          <w:szCs w:val="32"/>
        </w:rPr>
        <w:t>杨吉华</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市畜牧兽医服务中心副主任</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1920" w:firstLineChars="600"/>
        <w:jc w:val="left"/>
        <w:rPr>
          <w:rFonts w:hint="eastAsia" w:ascii="仿宋_GB2312" w:hAnsi="仿宋" w:eastAsia="仿宋_GB2312"/>
          <w:sz w:val="32"/>
          <w:szCs w:val="32"/>
        </w:rPr>
      </w:pPr>
      <w:r>
        <w:rPr>
          <w:rFonts w:hint="eastAsia" w:ascii="仿宋_GB2312" w:hAnsi="仿宋" w:eastAsia="仿宋_GB2312"/>
          <w:sz w:val="32"/>
          <w:szCs w:val="32"/>
        </w:rPr>
        <w:t>董</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锦</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市土地收购储备中心副主任</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1920" w:firstLineChars="600"/>
        <w:jc w:val="left"/>
        <w:rPr>
          <w:rFonts w:hint="eastAsia" w:ascii="仿宋_GB2312" w:hAnsi="仿宋" w:eastAsia="仿宋_GB2312"/>
          <w:sz w:val="32"/>
          <w:szCs w:val="32"/>
        </w:rPr>
      </w:pPr>
      <w:r>
        <w:rPr>
          <w:rFonts w:hint="eastAsia" w:ascii="仿宋_GB2312" w:hAnsi="仿宋" w:eastAsia="仿宋_GB2312"/>
          <w:sz w:val="32"/>
          <w:szCs w:val="32"/>
        </w:rPr>
        <w:t>张兴亮</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市交通运输行政执法大队党支部书记</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1920" w:firstLineChars="600"/>
        <w:jc w:val="left"/>
        <w:rPr>
          <w:rFonts w:hint="eastAsia" w:ascii="仿宋_GB2312" w:hAnsi="仿宋" w:eastAsia="仿宋_GB2312"/>
          <w:sz w:val="32"/>
          <w:szCs w:val="32"/>
        </w:rPr>
      </w:pPr>
      <w:r>
        <w:rPr>
          <w:rFonts w:hint="eastAsia" w:ascii="仿宋_GB2312" w:hAnsi="仿宋" w:eastAsia="仿宋_GB2312"/>
          <w:sz w:val="32"/>
          <w:szCs w:val="32"/>
        </w:rPr>
        <w:t>武家斌</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市农业行政执法大队大队长</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           张</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彬</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市动物疫病预防控制中心主任</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领导小组办公室设在市畜牧兽医服务中心，赵伟兼任办公室主任。</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left"/>
        <w:rPr>
          <w:rFonts w:hint="eastAsia" w:ascii="仿宋_GB2312" w:hAnsi="仿宋" w:eastAsia="仿宋_GB2312"/>
          <w:sz w:val="32"/>
          <w:szCs w:val="32"/>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left"/>
        <w:rPr>
          <w:rFonts w:hint="eastAsia" w:ascii="仿宋_GB2312" w:hAnsi="仿宋" w:eastAsia="仿宋_GB2312"/>
          <w:sz w:val="32"/>
          <w:szCs w:val="32"/>
        </w:rPr>
      </w:pP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0" w:firstLine="640" w:firstLineChars="200"/>
        <w:jc w:val="right"/>
        <w:rPr>
          <w:rFonts w:hint="eastAsia" w:ascii="仿宋_GB2312" w:hAnsi="仿宋" w:eastAsia="仿宋_GB2312"/>
          <w:sz w:val="32"/>
          <w:szCs w:val="32"/>
        </w:rPr>
      </w:pPr>
      <w:r>
        <w:rPr>
          <w:rFonts w:hint="eastAsia" w:ascii="仿宋_GB2312" w:hAnsi="仿宋" w:eastAsia="仿宋_GB2312"/>
          <w:sz w:val="32"/>
          <w:szCs w:val="32"/>
        </w:rPr>
        <w:t>肥城市人民政府办公室2020年5月11日印发</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firstLineChars="200"/>
        <w:jc w:val="right"/>
        <w:rPr>
          <w:rFonts w:hint="eastAsia" w:ascii="仿宋_GB2312" w:hAnsi="仿宋" w:eastAsia="仿宋_GB2312"/>
          <w:sz w:val="32"/>
          <w:szCs w:val="32"/>
        </w:rPr>
      </w:pPr>
      <w:r>
        <w:rPr>
          <w:rFonts w:hint="eastAsia" w:ascii="仿宋_GB2312" w:hAnsi="仿宋" w:eastAsia="仿宋_GB2312"/>
          <w:sz w:val="32"/>
          <w:szCs w:val="32"/>
        </w:rPr>
        <w:t> </w:t>
      </w:r>
      <w:bookmarkStart w:id="0" w:name="_GoBack"/>
      <w:bookmarkEnd w:id="0"/>
    </w:p>
    <w:sectPr>
      <w:footerReference r:id="rId7" w:type="first"/>
      <w:footerReference r:id="rId6" w:type="even"/>
      <w:pgSz w:w="11906" w:h="16838"/>
      <w:pgMar w:top="1418" w:right="1588" w:bottom="1418" w:left="1588"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EFF" w:usb1="C000785B" w:usb2="00000009" w:usb3="00000000" w:csb0="400001FF" w:csb1="FFFF0000"/>
  </w:font>
  <w:font w:name="Microsoft YaHei UI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3351185"/>
      <w:docPartObj>
        <w:docPartGallery w:val="autotext"/>
      </w:docPartObj>
    </w:sdtPr>
    <w:sdtEndPr>
      <w:rPr>
        <w:sz w:val="28"/>
        <w:szCs w:val="28"/>
      </w:rPr>
    </w:sdtEndPr>
    <w:sdt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3 -</w:t>
        </w:r>
        <w:r>
          <w:rPr>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2 -</w:t>
    </w:r>
    <w:r>
      <w:rPr>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黑体" w:hAnsi="黑体" w:eastAsia="黑体"/>
        <w:sz w:val="21"/>
        <w:szCs w:val="21"/>
      </w:rPr>
    </w:pPr>
    <w:r>
      <w:rPr>
        <w:rFonts w:hint="eastAsia" w:ascii="黑体" w:hAnsi="黑体" w:eastAsia="黑体"/>
        <w:sz w:val="21"/>
        <w:szCs w:val="21"/>
      </w:rPr>
      <w:t>肥城市人民政府公报  20</w:t>
    </w:r>
    <w:r>
      <w:rPr>
        <w:rFonts w:hint="eastAsia" w:ascii="黑体" w:hAnsi="黑体" w:eastAsia="黑体"/>
        <w:sz w:val="21"/>
        <w:szCs w:val="21"/>
        <w:lang w:val="en-US" w:eastAsia="zh-CN"/>
      </w:rPr>
      <w:t>20</w:t>
    </w:r>
    <w:r>
      <w:rPr>
        <w:rFonts w:hint="eastAsia" w:ascii="黑体" w:hAnsi="黑体" w:eastAsia="黑体"/>
        <w:sz w:val="21"/>
        <w:szCs w:val="21"/>
      </w:rPr>
      <w:t>年第2期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ascii="黑体" w:hAnsi="黑体" w:eastAsia="黑体"/>
        <w:sz w:val="21"/>
        <w:szCs w:val="21"/>
      </w:rPr>
    </w:pPr>
    <w:r>
      <w:rPr>
        <w:rFonts w:hint="eastAsia" w:ascii="黑体" w:hAnsi="黑体" w:eastAsia="黑体"/>
        <w:sz w:val="21"/>
        <w:szCs w:val="21"/>
      </w:rPr>
      <w:t>肥城市人民政府公报  20</w:t>
    </w:r>
    <w:r>
      <w:rPr>
        <w:rFonts w:hint="eastAsia" w:ascii="黑体" w:hAnsi="黑体" w:eastAsia="黑体"/>
        <w:sz w:val="21"/>
        <w:szCs w:val="21"/>
        <w:lang w:val="en-US" w:eastAsia="zh-CN"/>
      </w:rPr>
      <w:t>20</w:t>
    </w:r>
    <w:r>
      <w:rPr>
        <w:rFonts w:hint="eastAsia" w:ascii="黑体" w:hAnsi="黑体" w:eastAsia="黑体"/>
        <w:sz w:val="21"/>
        <w:szCs w:val="21"/>
      </w:rPr>
      <w:t>年第2期</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C0F9B"/>
    <w:rsid w:val="00004371"/>
    <w:rsid w:val="000057D9"/>
    <w:rsid w:val="00183CEB"/>
    <w:rsid w:val="001C0D26"/>
    <w:rsid w:val="001C0F9B"/>
    <w:rsid w:val="00201888"/>
    <w:rsid w:val="00235A7B"/>
    <w:rsid w:val="00306AA9"/>
    <w:rsid w:val="003675AA"/>
    <w:rsid w:val="00412094"/>
    <w:rsid w:val="004200C3"/>
    <w:rsid w:val="00440743"/>
    <w:rsid w:val="0044107A"/>
    <w:rsid w:val="00477AA1"/>
    <w:rsid w:val="004B2575"/>
    <w:rsid w:val="004F69A5"/>
    <w:rsid w:val="00502452"/>
    <w:rsid w:val="00513018"/>
    <w:rsid w:val="005216F6"/>
    <w:rsid w:val="00553AC2"/>
    <w:rsid w:val="005608A8"/>
    <w:rsid w:val="00570705"/>
    <w:rsid w:val="00590EFB"/>
    <w:rsid w:val="005B3BE5"/>
    <w:rsid w:val="005C70E6"/>
    <w:rsid w:val="005D48D6"/>
    <w:rsid w:val="005D4F34"/>
    <w:rsid w:val="00620706"/>
    <w:rsid w:val="00634E36"/>
    <w:rsid w:val="0068501C"/>
    <w:rsid w:val="006B6122"/>
    <w:rsid w:val="006B6EE3"/>
    <w:rsid w:val="006D62C5"/>
    <w:rsid w:val="007062A6"/>
    <w:rsid w:val="00765A22"/>
    <w:rsid w:val="00786169"/>
    <w:rsid w:val="007F630A"/>
    <w:rsid w:val="008530A6"/>
    <w:rsid w:val="00862F60"/>
    <w:rsid w:val="008941E4"/>
    <w:rsid w:val="00945063"/>
    <w:rsid w:val="00994792"/>
    <w:rsid w:val="009A0430"/>
    <w:rsid w:val="009B36C2"/>
    <w:rsid w:val="009D6413"/>
    <w:rsid w:val="00A01AAA"/>
    <w:rsid w:val="00A04AB8"/>
    <w:rsid w:val="00A237F1"/>
    <w:rsid w:val="00A440D8"/>
    <w:rsid w:val="00A71D51"/>
    <w:rsid w:val="00A748C6"/>
    <w:rsid w:val="00A9620B"/>
    <w:rsid w:val="00AC56DD"/>
    <w:rsid w:val="00AC7C4D"/>
    <w:rsid w:val="00AD6CBC"/>
    <w:rsid w:val="00B10741"/>
    <w:rsid w:val="00B20F07"/>
    <w:rsid w:val="00B220A8"/>
    <w:rsid w:val="00B30429"/>
    <w:rsid w:val="00B31ABB"/>
    <w:rsid w:val="00B5680E"/>
    <w:rsid w:val="00B610BF"/>
    <w:rsid w:val="00B65E18"/>
    <w:rsid w:val="00BB3067"/>
    <w:rsid w:val="00BD2F2C"/>
    <w:rsid w:val="00BF0CB8"/>
    <w:rsid w:val="00C117CD"/>
    <w:rsid w:val="00C171E3"/>
    <w:rsid w:val="00C36884"/>
    <w:rsid w:val="00C44FF4"/>
    <w:rsid w:val="00C63701"/>
    <w:rsid w:val="00CA575A"/>
    <w:rsid w:val="00CD2E2F"/>
    <w:rsid w:val="00CD680A"/>
    <w:rsid w:val="00CE1D85"/>
    <w:rsid w:val="00D60B91"/>
    <w:rsid w:val="00D7424B"/>
    <w:rsid w:val="00D9161F"/>
    <w:rsid w:val="00DD3423"/>
    <w:rsid w:val="00DD76FC"/>
    <w:rsid w:val="00DF5F5E"/>
    <w:rsid w:val="00E14DBE"/>
    <w:rsid w:val="00E41336"/>
    <w:rsid w:val="00E945F5"/>
    <w:rsid w:val="00ED7309"/>
    <w:rsid w:val="00F0327C"/>
    <w:rsid w:val="00F70671"/>
    <w:rsid w:val="00FB61C5"/>
    <w:rsid w:val="00FF4774"/>
    <w:rsid w:val="0D2B203D"/>
    <w:rsid w:val="1CB81425"/>
    <w:rsid w:val="227B4974"/>
    <w:rsid w:val="25476E9E"/>
    <w:rsid w:val="2FF53390"/>
    <w:rsid w:val="34C20EE9"/>
    <w:rsid w:val="35B45434"/>
    <w:rsid w:val="409565B3"/>
    <w:rsid w:val="5CF4337F"/>
    <w:rsid w:val="77EE2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uiPriority w:val="99"/>
    <w:pPr>
      <w:ind w:left="100" w:leftChars="2500"/>
    </w:pPr>
  </w:style>
  <w:style w:type="paragraph" w:styleId="3">
    <w:name w:val="Balloon Text"/>
    <w:basedOn w:val="1"/>
    <w:link w:val="17"/>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8"/>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uiPriority w:val="99"/>
    <w:rPr>
      <w:color w:val="0000FF"/>
      <w:u w:val="single"/>
    </w:rPr>
  </w:style>
  <w:style w:type="character" w:customStyle="1" w:styleId="12">
    <w:name w:val="页眉 Char"/>
    <w:basedOn w:val="9"/>
    <w:link w:val="5"/>
    <w:uiPriority w:val="99"/>
    <w:rPr>
      <w:sz w:val="18"/>
      <w:szCs w:val="18"/>
    </w:rPr>
  </w:style>
  <w:style w:type="character" w:customStyle="1" w:styleId="13">
    <w:name w:val="页脚 Char"/>
    <w:basedOn w:val="9"/>
    <w:link w:val="4"/>
    <w:qFormat/>
    <w:uiPriority w:val="99"/>
    <w:rPr>
      <w:sz w:val="18"/>
      <w:szCs w:val="18"/>
    </w:rPr>
  </w:style>
  <w:style w:type="paragraph" w:customStyle="1" w:styleId="14">
    <w:name w:val="默认段落字体 Para Char Char Char Char Char Char Char"/>
    <w:basedOn w:val="1"/>
    <w:qFormat/>
    <w:uiPriority w:val="0"/>
    <w:rPr>
      <w:rFonts w:ascii="Calibri" w:hAnsi="Calibri" w:eastAsia="宋体" w:cs="Times New Roman"/>
      <w:szCs w:val="24"/>
    </w:rPr>
  </w:style>
  <w:style w:type="character" w:customStyle="1" w:styleId="15">
    <w:name w:val="日期 Char"/>
    <w:basedOn w:val="9"/>
    <w:link w:val="2"/>
    <w:semiHidden/>
    <w:qFormat/>
    <w:uiPriority w:val="99"/>
  </w:style>
  <w:style w:type="paragraph" w:styleId="16">
    <w:name w:val="List Paragraph"/>
    <w:basedOn w:val="1"/>
    <w:qFormat/>
    <w:uiPriority w:val="34"/>
    <w:pPr>
      <w:ind w:firstLine="420" w:firstLineChars="200"/>
    </w:pPr>
  </w:style>
  <w:style w:type="character" w:customStyle="1" w:styleId="17">
    <w:name w:val="批注框文本 Char"/>
    <w:basedOn w:val="9"/>
    <w:link w:val="3"/>
    <w:semiHidden/>
    <w:qFormat/>
    <w:uiPriority w:val="99"/>
    <w:rPr>
      <w:sz w:val="18"/>
      <w:szCs w:val="18"/>
    </w:rPr>
  </w:style>
  <w:style w:type="character" w:customStyle="1" w:styleId="18">
    <w:name w:val="HTML 预设格式 Char"/>
    <w:basedOn w:val="9"/>
    <w:link w:val="6"/>
    <w:semiHidden/>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C45AC3-D43D-47D1-990F-61D0C30AAFE4}">
  <ds:schemaRefs/>
</ds:datastoreItem>
</file>

<file path=docProps/app.xml><?xml version="1.0" encoding="utf-8"?>
<Properties xmlns="http://schemas.openxmlformats.org/officeDocument/2006/extended-properties" xmlns:vt="http://schemas.openxmlformats.org/officeDocument/2006/docPropsVTypes">
  <Template>Normal</Template>
  <Pages>22</Pages>
  <Words>1256</Words>
  <Characters>7162</Characters>
  <Lines>59</Lines>
  <Paragraphs>16</Paragraphs>
  <TotalTime>15</TotalTime>
  <ScaleCrop>false</ScaleCrop>
  <LinksUpToDate>false</LinksUpToDate>
  <CharactersWithSpaces>8402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2019-08-16T09:13:00Z</dcterms:created>
  <dc:creator>John</dc:creator>
  <cp:lastModifiedBy>emmmm</cp:lastModifiedBy>
  <dcterms:modified xsi:type="dcterms:W3CDTF">2020-11-12T00:28:59Z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