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0650" cy="4524375"/>
            <wp:effectExtent l="0" t="0" r="0" b="9525"/>
            <wp:docPr id="6" name="图片 6" descr="简易程序行政处罚案件业务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简易程序行政处罚案件业务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48430"/>
            <wp:effectExtent l="0" t="0" r="3810" b="13970"/>
            <wp:docPr id="7" name="图片 7" descr="一般程序行政处罚案件业务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一般程序行政处罚案件业务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3950" cy="4314825"/>
            <wp:effectExtent l="0" t="0" r="0" b="9525"/>
            <wp:docPr id="8" name="图片 8" descr="申请法院强制执行权力业务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申请法院强制执行权力业务流程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1575" cy="4638675"/>
            <wp:effectExtent l="0" t="0" r="9525" b="9525"/>
            <wp:docPr id="9" name="图片 9" descr="行政强制执行权力业务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行政强制执行权力业务流程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4629150"/>
            <wp:effectExtent l="0" t="0" r="0" b="0"/>
            <wp:docPr id="10" name="图片 10" descr="行政强制措施权力业务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行政强制措施权力业务流程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836D9"/>
    <w:rsid w:val="5578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2020-09-01T01:45:00Z</dcterms:created>
  <dc:creator>风之物语</dc:creator>
  <cp:lastModifiedBy>风之物语</cp:lastModifiedBy>
  <dcterms:modified xsi:type="dcterms:W3CDTF">2020-09-01T01:48:42Z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