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line="600" w:lineRule="exact"/>
        <w:jc w:val="both"/>
        <w:rPr>
          <w:rFonts w:hint="default" w:ascii="Times New Roman" w:hAnsi="Times New Roman" w:eastAsia="黑体" w:cs="Times New Roman"/>
          <w:color w:val="000000" w:themeColor="text1"/>
          <w:sz w:val="32"/>
          <w:szCs w:val="32"/>
          <w14:textFill>
            <w14:solidFill>
              <w14:schemeClr w14:val="tx1"/>
            </w14:solidFill>
          </w14:textFill>
        </w:rPr>
      </w:pPr>
    </w:p>
    <w:p>
      <w:pPr>
        <w:pStyle w:val="3"/>
        <w:spacing w:before="0" w:beforeAutospacing="0" w:after="0" w:afterAutospacing="0" w:line="600" w:lineRule="exact"/>
        <w:ind w:firstLine="920" w:firstLineChars="200"/>
        <w:jc w:val="center"/>
        <w:rPr>
          <w:rFonts w:hint="default" w:ascii="Times New Roman" w:hAnsi="Times New Roman" w:eastAsia="方正小标宋简体" w:cs="Times New Roman"/>
          <w:color w:val="000000" w:themeColor="text1"/>
          <w:spacing w:val="10"/>
          <w:sz w:val="44"/>
          <w:szCs w:val="44"/>
          <w:lang w:eastAsia="zh-CN"/>
          <w14:textFill>
            <w14:solidFill>
              <w14:schemeClr w14:val="tx1"/>
            </w14:solidFill>
          </w14:textFill>
        </w:rPr>
      </w:pPr>
      <w:r>
        <w:rPr>
          <w:rFonts w:hint="default" w:ascii="Times New Roman" w:hAnsi="Times New Roman" w:eastAsia="方正小标宋简体" w:cs="Times New Roman"/>
          <w:color w:val="000000" w:themeColor="text1"/>
          <w:spacing w:val="10"/>
          <w:sz w:val="44"/>
          <w:szCs w:val="44"/>
          <w14:textFill>
            <w14:solidFill>
              <w14:schemeClr w14:val="tx1"/>
            </w14:solidFill>
          </w14:textFill>
        </w:rPr>
        <w:t>肥城市</w:t>
      </w:r>
      <w:r>
        <w:rPr>
          <w:rFonts w:hint="default" w:ascii="Times New Roman" w:hAnsi="Times New Roman" w:eastAsia="方正小标宋简体" w:cs="Times New Roman"/>
          <w:color w:val="000000" w:themeColor="text1"/>
          <w:spacing w:val="10"/>
          <w:sz w:val="44"/>
          <w:szCs w:val="44"/>
          <w:lang w:val="en-US" w:eastAsia="zh-CN"/>
          <w14:textFill>
            <w14:solidFill>
              <w14:schemeClr w14:val="tx1"/>
            </w14:solidFill>
          </w14:textFill>
        </w:rPr>
        <w:t>行政审批服务局</w:t>
      </w:r>
    </w:p>
    <w:p>
      <w:pPr>
        <w:pStyle w:val="3"/>
        <w:spacing w:before="0" w:beforeAutospacing="0" w:after="0" w:afterAutospacing="0" w:line="600" w:lineRule="exact"/>
        <w:ind w:firstLine="920" w:firstLineChars="200"/>
        <w:jc w:val="center"/>
        <w:rPr>
          <w:rFonts w:hint="default" w:ascii="Times New Roman" w:hAnsi="Times New Roman" w:eastAsia="方正小标宋简体" w:cs="Times New Roman"/>
          <w:color w:val="000000" w:themeColor="text1"/>
          <w:spacing w:val="10"/>
          <w:sz w:val="44"/>
          <w:szCs w:val="44"/>
          <w14:textFill>
            <w14:solidFill>
              <w14:schemeClr w14:val="tx1"/>
            </w14:solidFill>
          </w14:textFill>
        </w:rPr>
      </w:pPr>
      <w:r>
        <w:rPr>
          <w:rFonts w:hint="default" w:ascii="Times New Roman" w:hAnsi="Times New Roman" w:eastAsia="方正小标宋简体" w:cs="Times New Roman"/>
          <w:color w:val="000000" w:themeColor="text1"/>
          <w:spacing w:val="10"/>
          <w:sz w:val="44"/>
          <w:szCs w:val="44"/>
          <w14:textFill>
            <w14:solidFill>
              <w14:schemeClr w14:val="tx1"/>
            </w14:solidFill>
          </w14:textFill>
        </w:rPr>
        <w:t>2023年政府信息公开工作年度报告</w:t>
      </w:r>
    </w:p>
    <w:p>
      <w:pPr>
        <w:pStyle w:val="3"/>
        <w:spacing w:before="0" w:beforeAutospacing="0" w:after="0" w:afterAutospacing="0" w:line="600" w:lineRule="exact"/>
        <w:ind w:firstLine="880" w:firstLineChars="200"/>
        <w:jc w:val="both"/>
        <w:rPr>
          <w:rFonts w:hint="default" w:ascii="Times New Roman" w:hAnsi="Times New Roman" w:eastAsia="方正小标宋简体" w:cs="Times New Roman"/>
          <w:color w:val="000000" w:themeColor="text1"/>
          <w:sz w:val="44"/>
          <w:szCs w:val="44"/>
          <w14:textFill>
            <w14:solidFill>
              <w14:schemeClr w14:val="tx1"/>
            </w14:solidFill>
          </w14:textFill>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中华人民共和国政府信息公开条例》，特向社会公布2023年度本机关政府信息公开工作年度报告。全文包括：总体情况；主动公开政府信息的情况；收到和处理政府信息公开申请的情况；因政府信息公开工作被申请行政复议、提起行政诉讼的情况；政府信息公开工作存在的主要问题及改进情况；其他需要报告的事项。报告中所列数据的统计期限自2023年1月1日起至2023年12月31日止。</w:t>
      </w:r>
    </w:p>
    <w:p>
      <w:pPr>
        <w:pStyle w:val="3"/>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kern w:val="0"/>
          <w:sz w:val="32"/>
          <w:szCs w:val="32"/>
          <w:lang w:val="en-US" w:eastAsia="zh-CN" w:bidi="ar-SA"/>
          <w14:textFill>
            <w14:solidFill>
              <w14:schemeClr w14:val="tx1"/>
            </w14:solidFill>
          </w14:textFill>
        </w:rPr>
        <w:t>一、</w:t>
      </w:r>
      <w:r>
        <w:rPr>
          <w:rFonts w:hint="default" w:ascii="Times New Roman" w:hAnsi="Times New Roman" w:eastAsia="黑体" w:cs="Times New Roman"/>
          <w:color w:val="000000" w:themeColor="text1"/>
          <w:sz w:val="32"/>
          <w:szCs w:val="32"/>
          <w14:textFill>
            <w14:solidFill>
              <w14:schemeClr w14:val="tx1"/>
            </w14:solidFill>
          </w14:textFill>
        </w:rPr>
        <w:t>总体情况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sans-serif" w:cs="Times New Roman"/>
          <w:i w:val="0"/>
          <w:iCs w:val="0"/>
          <w:caps w:val="0"/>
          <w:color w:val="000000" w:themeColor="text1"/>
          <w:spacing w:val="0"/>
          <w:sz w:val="21"/>
          <w:szCs w:val="21"/>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2023年度，肥城市</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行政审批服务局</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紧紧围绕</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全市发展大局</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，深入贯彻</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落实</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《政府信息公开条例》，</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重点</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聚焦</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政务服务、项目建设、企业开办等方面信息公开，</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努力拓宽公开渠道、规范公开流程、提升公开时效，持续</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推动</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政务公开工作</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走深走实</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。主要工作情况开展如下：</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645" w:firstLineChars="0"/>
        <w:jc w:val="both"/>
        <w:textAlignment w:val="auto"/>
        <w:rPr>
          <w:rFonts w:hint="default" w:ascii="Times New Roman" w:hAnsi="Times New Roman" w:eastAsia="sans-serif" w:cs="Times New Roman"/>
          <w:i w:val="0"/>
          <w:iCs w:val="0"/>
          <w:caps w:val="0"/>
          <w:color w:val="000000" w:themeColor="text1"/>
          <w:spacing w:val="0"/>
          <w:sz w:val="24"/>
          <w:szCs w:val="24"/>
          <w:highlight w:val="yellow"/>
          <w14:textFill>
            <w14:solidFill>
              <w14:schemeClr w14:val="tx1"/>
            </w14:solidFill>
          </w14:textFill>
        </w:rPr>
      </w:pPr>
      <w:r>
        <w:rPr>
          <w:rStyle w:val="6"/>
          <w:rFonts w:hint="eastAsia" w:ascii="楷体_GB2312" w:hAnsi="楷体_GB2312" w:eastAsia="楷体_GB2312" w:cs="楷体_GB2312"/>
          <w:i w:val="0"/>
          <w:iCs w:val="0"/>
          <w:caps w:val="0"/>
          <w:color w:val="000000" w:themeColor="text1"/>
          <w:spacing w:val="0"/>
          <w:sz w:val="31"/>
          <w:szCs w:val="31"/>
          <w:lang w:val="en-US" w:eastAsia="zh-CN"/>
          <w14:textFill>
            <w14:solidFill>
              <w14:schemeClr w14:val="tx1"/>
            </w14:solidFill>
          </w14:textFill>
        </w:rPr>
        <w:t>1.</w:t>
      </w:r>
      <w:r>
        <w:rPr>
          <w:rStyle w:val="6"/>
          <w:rFonts w:hint="eastAsia" w:ascii="楷体_GB2312" w:hAnsi="楷体_GB2312" w:eastAsia="楷体_GB2312" w:cs="楷体_GB2312"/>
          <w:i w:val="0"/>
          <w:iCs w:val="0"/>
          <w:caps w:val="0"/>
          <w:color w:val="000000" w:themeColor="text1"/>
          <w:spacing w:val="0"/>
          <w:sz w:val="31"/>
          <w:szCs w:val="31"/>
          <w14:textFill>
            <w14:solidFill>
              <w14:schemeClr w14:val="tx1"/>
            </w14:solidFill>
          </w14:textFill>
        </w:rPr>
        <w:t>主动公开。</w:t>
      </w:r>
      <w:r>
        <w:rPr>
          <w:rFonts w:hint="default" w:ascii="Times New Roman" w:hAnsi="Times New Roman" w:eastAsia="仿宋_GB2312" w:cs="Times New Roman"/>
          <w:i w:val="0"/>
          <w:iCs w:val="0"/>
          <w:caps w:val="0"/>
          <w:color w:val="000000"/>
          <w:spacing w:val="0"/>
          <w:sz w:val="31"/>
          <w:szCs w:val="31"/>
          <w:lang w:val="en-US" w:eastAsia="zh-CN"/>
        </w:rPr>
        <w:t>建立健全</w:t>
      </w:r>
      <w:r>
        <w:rPr>
          <w:rFonts w:hint="default" w:ascii="Times New Roman" w:hAnsi="Times New Roman" w:eastAsia="仿宋_GB2312" w:cs="Times New Roman"/>
          <w:i w:val="0"/>
          <w:iCs w:val="0"/>
          <w:caps w:val="0"/>
          <w:color w:val="000000"/>
          <w:spacing w:val="0"/>
          <w:sz w:val="31"/>
          <w:szCs w:val="31"/>
        </w:rPr>
        <w:t>政府信息公开工作机制，进一步明确“谁主管谁负责”的工作原则，</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聚焦</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政务服务、项目建设、企业开办等</w:t>
      </w:r>
      <w:r>
        <w:rPr>
          <w:rFonts w:hint="default" w:ascii="Times New Roman" w:hAnsi="Times New Roman" w:eastAsia="仿宋_GB2312" w:cs="Times New Roman"/>
          <w:i w:val="0"/>
          <w:iCs w:val="0"/>
          <w:caps w:val="0"/>
          <w:color w:val="000000"/>
          <w:spacing w:val="0"/>
          <w:sz w:val="31"/>
          <w:szCs w:val="31"/>
        </w:rPr>
        <w:t>，及时主动公开政务信息。2023年，</w:t>
      </w:r>
      <w:r>
        <w:rPr>
          <w:rFonts w:hint="default" w:ascii="Times New Roman" w:hAnsi="Times New Roman" w:eastAsia="仿宋_GB2312" w:cs="Times New Roman"/>
          <w:i w:val="0"/>
          <w:iCs w:val="0"/>
          <w:caps w:val="0"/>
          <w:color w:val="000000"/>
          <w:spacing w:val="0"/>
          <w:sz w:val="31"/>
          <w:szCs w:val="31"/>
          <w:lang w:val="en-US" w:eastAsia="zh-CN"/>
        </w:rPr>
        <w:t>行政审批服务局</w:t>
      </w:r>
      <w:r>
        <w:rPr>
          <w:rFonts w:hint="default" w:ascii="Times New Roman" w:hAnsi="Times New Roman" w:eastAsia="仿宋_GB2312" w:cs="Times New Roman"/>
          <w:i w:val="0"/>
          <w:iCs w:val="0"/>
          <w:caps w:val="0"/>
          <w:color w:val="000000"/>
          <w:spacing w:val="0"/>
          <w:sz w:val="31"/>
          <w:szCs w:val="31"/>
        </w:rPr>
        <w:t>通过市政府网站</w:t>
      </w:r>
      <w:r>
        <w:rPr>
          <w:rFonts w:hint="default" w:ascii="Times New Roman" w:hAnsi="Times New Roman" w:eastAsia="仿宋_GB2312" w:cs="Times New Roman"/>
          <w:i w:val="0"/>
          <w:iCs w:val="0"/>
          <w:caps w:val="0"/>
          <w:color w:val="000000"/>
          <w:spacing w:val="0"/>
          <w:sz w:val="31"/>
          <w:szCs w:val="31"/>
          <w:lang w:val="en-US" w:eastAsia="zh-CN"/>
        </w:rPr>
        <w:t>及时调整</w:t>
      </w:r>
      <w:r>
        <w:rPr>
          <w:rFonts w:hint="default" w:ascii="Times New Roman" w:hAnsi="Times New Roman" w:eastAsia="仿宋_GB2312" w:cs="Times New Roman"/>
          <w:i w:val="0"/>
          <w:iCs w:val="0"/>
          <w:caps w:val="0"/>
          <w:color w:val="000000"/>
          <w:spacing w:val="0"/>
          <w:sz w:val="31"/>
          <w:szCs w:val="31"/>
        </w:rPr>
        <w:t>领导分工</w:t>
      </w:r>
      <w:r>
        <w:rPr>
          <w:rFonts w:hint="default" w:ascii="Times New Roman" w:hAnsi="Times New Roman" w:eastAsia="仿宋_GB2312" w:cs="Times New Roman"/>
          <w:i w:val="0"/>
          <w:iCs w:val="0"/>
          <w:caps w:val="0"/>
          <w:color w:val="000000"/>
          <w:spacing w:val="0"/>
          <w:sz w:val="31"/>
          <w:szCs w:val="31"/>
          <w:lang w:val="en-US" w:eastAsia="zh-CN"/>
        </w:rPr>
        <w:t>等</w:t>
      </w:r>
      <w:r>
        <w:rPr>
          <w:rFonts w:hint="default" w:ascii="Times New Roman" w:hAnsi="Times New Roman" w:eastAsia="仿宋_GB2312" w:cs="Times New Roman"/>
          <w:i w:val="0"/>
          <w:iCs w:val="0"/>
          <w:caps w:val="0"/>
          <w:color w:val="000000"/>
          <w:spacing w:val="0"/>
          <w:sz w:val="31"/>
          <w:szCs w:val="31"/>
        </w:rPr>
        <w:t>信息，</w:t>
      </w:r>
      <w:r>
        <w:rPr>
          <w:rFonts w:hint="default" w:ascii="Times New Roman" w:hAnsi="Times New Roman" w:eastAsia="仿宋_GB2312" w:cs="Times New Roman"/>
          <w:i w:val="0"/>
          <w:iCs w:val="0"/>
          <w:caps w:val="0"/>
          <w:color w:val="000000"/>
          <w:spacing w:val="0"/>
          <w:sz w:val="31"/>
          <w:szCs w:val="31"/>
          <w:lang w:val="en-US" w:eastAsia="zh-CN"/>
        </w:rPr>
        <w:t>发布各类通知公告349条，</w:t>
      </w:r>
      <w:r>
        <w:rPr>
          <w:rFonts w:hint="default" w:ascii="Times New Roman" w:hAnsi="Times New Roman" w:eastAsia="仿宋_GB2312" w:cs="Times New Roman"/>
          <w:i w:val="0"/>
          <w:iCs w:val="0"/>
          <w:caps w:val="0"/>
          <w:color w:val="000000"/>
          <w:spacing w:val="0"/>
          <w:sz w:val="31"/>
          <w:szCs w:val="31"/>
        </w:rPr>
        <w:t>通过“</w:t>
      </w:r>
      <w:r>
        <w:rPr>
          <w:rFonts w:hint="default" w:ascii="Times New Roman" w:hAnsi="Times New Roman" w:eastAsia="仿宋_GB2312" w:cs="Times New Roman"/>
          <w:i w:val="0"/>
          <w:iCs w:val="0"/>
          <w:caps w:val="0"/>
          <w:color w:val="000000"/>
          <w:spacing w:val="0"/>
          <w:sz w:val="31"/>
          <w:szCs w:val="31"/>
          <w:lang w:val="en-US" w:eastAsia="zh-CN"/>
        </w:rPr>
        <w:t>肥城行政审批服务局</w:t>
      </w:r>
      <w:r>
        <w:rPr>
          <w:rFonts w:hint="default" w:ascii="Times New Roman" w:hAnsi="Times New Roman" w:eastAsia="仿宋_GB2312" w:cs="Times New Roman"/>
          <w:i w:val="0"/>
          <w:iCs w:val="0"/>
          <w:caps w:val="0"/>
          <w:color w:val="000000"/>
          <w:spacing w:val="0"/>
          <w:sz w:val="31"/>
          <w:szCs w:val="31"/>
        </w:rPr>
        <w:t>”</w:t>
      </w:r>
      <w:r>
        <w:rPr>
          <w:rFonts w:hint="default" w:ascii="Times New Roman" w:hAnsi="Times New Roman" w:eastAsia="仿宋_GB2312" w:cs="Times New Roman"/>
          <w:i w:val="0"/>
          <w:iCs w:val="0"/>
          <w:caps w:val="0"/>
          <w:color w:val="000000"/>
          <w:spacing w:val="0"/>
          <w:sz w:val="31"/>
          <w:szCs w:val="31"/>
          <w:lang w:val="en-US" w:eastAsia="zh-CN"/>
        </w:rPr>
        <w:t>公众号发布信息411条，视频号发布6条，其他</w:t>
      </w:r>
      <w:r>
        <w:rPr>
          <w:rFonts w:hint="default" w:ascii="Times New Roman" w:hAnsi="Times New Roman" w:eastAsia="仿宋_GB2312" w:cs="Times New Roman"/>
          <w:i w:val="0"/>
          <w:iCs w:val="0"/>
          <w:caps w:val="0"/>
          <w:color w:val="000000"/>
          <w:spacing w:val="0"/>
          <w:sz w:val="31"/>
          <w:szCs w:val="31"/>
        </w:rPr>
        <w:t>政务新媒体</w:t>
      </w:r>
      <w:r>
        <w:rPr>
          <w:rFonts w:hint="default" w:ascii="Times New Roman" w:hAnsi="Times New Roman" w:eastAsia="仿宋_GB2312" w:cs="Times New Roman"/>
          <w:i w:val="0"/>
          <w:iCs w:val="0"/>
          <w:caps w:val="0"/>
          <w:color w:val="000000"/>
          <w:spacing w:val="0"/>
          <w:sz w:val="31"/>
          <w:szCs w:val="31"/>
          <w:lang w:val="en-US" w:eastAsia="zh-CN"/>
        </w:rPr>
        <w:t>宣传206条。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5"/>
        <w:textAlignment w:val="auto"/>
        <w:rPr>
          <w:rFonts w:hint="default" w:ascii="Times New Roman" w:hAnsi="Times New Roman" w:eastAsia="sans-serif" w:cs="Times New Roman"/>
          <w:i w:val="0"/>
          <w:iCs w:val="0"/>
          <w:caps w:val="0"/>
          <w:color w:val="000000" w:themeColor="text1"/>
          <w:spacing w:val="0"/>
          <w:sz w:val="21"/>
          <w:szCs w:val="21"/>
          <w14:textFill>
            <w14:solidFill>
              <w14:schemeClr w14:val="tx1"/>
            </w14:solidFill>
          </w14:textFill>
        </w:rPr>
      </w:pPr>
      <w:r>
        <w:rPr>
          <w:rStyle w:val="6"/>
          <w:rFonts w:hint="default" w:ascii="楷体_GB2312" w:hAnsi="楷体_GB2312" w:eastAsia="楷体_GB2312" w:cs="楷体_GB2312"/>
          <w:i w:val="0"/>
          <w:iCs w:val="0"/>
          <w:caps w:val="0"/>
          <w:color w:val="000000" w:themeColor="text1"/>
          <w:spacing w:val="0"/>
          <w:sz w:val="31"/>
          <w:szCs w:val="31"/>
          <w:lang w:val="en-US" w:eastAsia="zh-CN"/>
          <w14:textFill>
            <w14:solidFill>
              <w14:schemeClr w14:val="tx1"/>
            </w14:solidFill>
          </w14:textFill>
        </w:rPr>
        <w:t>2.依申请公开。</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未收</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到依申请公开</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事项</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仿宋_GB2312" w:cs="Times New Roman"/>
          <w:i w:val="0"/>
          <w:iCs w:val="0"/>
          <w:caps w:val="0"/>
          <w:color w:val="000000" w:themeColor="text1"/>
          <w:spacing w:val="0"/>
          <w:sz w:val="31"/>
          <w:szCs w:val="31"/>
          <w:shd w:val="clear" w:fill="FFFFFF"/>
          <w14:textFill>
            <w14:solidFill>
              <w14:schemeClr w14:val="tx1"/>
            </w14:solidFill>
          </w14:textFill>
        </w:rPr>
      </w:pPr>
      <w:r>
        <w:rPr>
          <w:rStyle w:val="6"/>
          <w:rFonts w:hint="default" w:ascii="楷体_GB2312" w:hAnsi="楷体_GB2312" w:eastAsia="楷体_GB2312" w:cs="楷体_GB2312"/>
          <w:i w:val="0"/>
          <w:iCs w:val="0"/>
          <w:caps w:val="0"/>
          <w:color w:val="000000" w:themeColor="text1"/>
          <w:spacing w:val="0"/>
          <w:sz w:val="31"/>
          <w:szCs w:val="31"/>
          <w:lang w:val="en-US" w:eastAsia="zh-CN"/>
          <w14:textFill>
            <w14:solidFill>
              <w14:schemeClr w14:val="tx1"/>
            </w14:solidFill>
          </w14:textFill>
        </w:rPr>
        <w:t>3.政府信息管理。</w:t>
      </w:r>
      <w:r>
        <w:rPr>
          <w:rFonts w:hint="default" w:ascii="Times New Roman" w:hAnsi="Times New Roman" w:eastAsia="仿宋_GB2312" w:cs="Times New Roman"/>
          <w:i w:val="0"/>
          <w:iCs w:val="0"/>
          <w:caps w:val="0"/>
          <w:color w:val="000000" w:themeColor="text1"/>
          <w:spacing w:val="0"/>
          <w:sz w:val="31"/>
          <w:szCs w:val="31"/>
          <w:shd w:val="clear" w:fill="FFFFFF"/>
          <w14:textFill>
            <w14:solidFill>
              <w14:schemeClr w14:val="tx1"/>
            </w14:solidFill>
          </w14:textFill>
        </w:rPr>
        <w:t>按照《信息公开条例》要求，</w:t>
      </w:r>
      <w:r>
        <w:rPr>
          <w:rFonts w:hint="default" w:ascii="Times New Roman" w:hAnsi="Times New Roman" w:eastAsia="仿宋_GB2312" w:cs="Times New Roman"/>
          <w:i w:val="0"/>
          <w:iCs w:val="0"/>
          <w:caps w:val="0"/>
          <w:color w:val="000000" w:themeColor="text1"/>
          <w:spacing w:val="0"/>
          <w:sz w:val="31"/>
          <w:szCs w:val="31"/>
          <w:shd w:val="clear" w:fill="FFFFFF"/>
          <w:lang w:val="en-US" w:eastAsia="zh-CN"/>
          <w14:textFill>
            <w14:solidFill>
              <w14:schemeClr w14:val="tx1"/>
            </w14:solidFill>
          </w14:textFill>
        </w:rPr>
        <w:t>建立健全信息公开机制，</w:t>
      </w:r>
      <w:r>
        <w:rPr>
          <w:rFonts w:hint="default" w:ascii="Times New Roman" w:hAnsi="Times New Roman" w:eastAsia="仿宋_GB2312" w:cs="Times New Roman"/>
          <w:i w:val="0"/>
          <w:iCs w:val="0"/>
          <w:caps w:val="0"/>
          <w:color w:val="000000"/>
          <w:spacing w:val="0"/>
          <w:sz w:val="31"/>
          <w:szCs w:val="31"/>
        </w:rPr>
        <w:t>将</w:t>
      </w:r>
      <w:r>
        <w:rPr>
          <w:rFonts w:hint="default" w:ascii="Times New Roman" w:hAnsi="Times New Roman" w:eastAsia="仿宋_GB2312" w:cs="Times New Roman"/>
          <w:i w:val="0"/>
          <w:iCs w:val="0"/>
          <w:caps w:val="0"/>
          <w:color w:val="000000"/>
          <w:spacing w:val="0"/>
          <w:sz w:val="31"/>
          <w:szCs w:val="31"/>
          <w:lang w:val="en-US" w:eastAsia="zh-CN"/>
        </w:rPr>
        <w:t>信息公开</w:t>
      </w:r>
      <w:r>
        <w:rPr>
          <w:rFonts w:hint="default" w:ascii="Times New Roman" w:hAnsi="Times New Roman" w:eastAsia="仿宋_GB2312" w:cs="Times New Roman"/>
          <w:i w:val="0"/>
          <w:iCs w:val="0"/>
          <w:caps w:val="0"/>
          <w:color w:val="000000"/>
          <w:spacing w:val="0"/>
          <w:sz w:val="31"/>
          <w:szCs w:val="31"/>
        </w:rPr>
        <w:t>工作纳入</w:t>
      </w:r>
      <w:r>
        <w:rPr>
          <w:rFonts w:hint="default" w:ascii="Times New Roman" w:hAnsi="Times New Roman" w:eastAsia="仿宋_GB2312" w:cs="Times New Roman"/>
          <w:i w:val="0"/>
          <w:iCs w:val="0"/>
          <w:caps w:val="0"/>
          <w:color w:val="000000"/>
          <w:spacing w:val="0"/>
          <w:sz w:val="31"/>
          <w:szCs w:val="31"/>
          <w:lang w:val="en-US" w:eastAsia="zh-CN"/>
        </w:rPr>
        <w:t>重点工作</w:t>
      </w:r>
      <w:r>
        <w:rPr>
          <w:rFonts w:hint="default" w:ascii="Times New Roman" w:hAnsi="Times New Roman" w:eastAsia="仿宋_GB2312" w:cs="Times New Roman"/>
          <w:i w:val="0"/>
          <w:iCs w:val="0"/>
          <w:caps w:val="0"/>
          <w:color w:val="000000"/>
          <w:spacing w:val="0"/>
          <w:sz w:val="31"/>
          <w:szCs w:val="31"/>
        </w:rPr>
        <w:t>，明确专人负责，努力提升政务公开专业化水平。严格执行信息公开</w:t>
      </w:r>
      <w:r>
        <w:rPr>
          <w:rFonts w:hint="default" w:ascii="Times New Roman" w:hAnsi="Times New Roman" w:eastAsia="仿宋_GB2312" w:cs="Times New Roman"/>
          <w:i w:val="0"/>
          <w:iCs w:val="0"/>
          <w:caps w:val="0"/>
          <w:color w:val="000000"/>
          <w:spacing w:val="0"/>
          <w:sz w:val="31"/>
          <w:szCs w:val="31"/>
          <w:lang w:val="en-US" w:eastAsia="zh-CN"/>
        </w:rPr>
        <w:t>有关制度规定</w:t>
      </w:r>
      <w:r>
        <w:rPr>
          <w:rFonts w:hint="default" w:ascii="Times New Roman" w:hAnsi="Times New Roman" w:eastAsia="仿宋_GB2312" w:cs="Times New Roman"/>
          <w:i w:val="0"/>
          <w:iCs w:val="0"/>
          <w:caps w:val="0"/>
          <w:color w:val="000000"/>
          <w:spacing w:val="0"/>
          <w:sz w:val="31"/>
          <w:szCs w:val="31"/>
        </w:rPr>
        <w:t>，确保政务公开内容无</w:t>
      </w:r>
      <w:r>
        <w:rPr>
          <w:rFonts w:hint="default" w:ascii="Times New Roman" w:hAnsi="Times New Roman" w:eastAsia="仿宋_GB2312" w:cs="Times New Roman"/>
          <w:i w:val="0"/>
          <w:iCs w:val="0"/>
          <w:caps w:val="0"/>
          <w:color w:val="000000"/>
          <w:spacing w:val="0"/>
          <w:sz w:val="31"/>
          <w:szCs w:val="31"/>
          <w:lang w:val="en-US" w:eastAsia="zh-CN"/>
        </w:rPr>
        <w:t>涉密事项</w:t>
      </w:r>
      <w:r>
        <w:rPr>
          <w:rFonts w:hint="default" w:ascii="Times New Roman" w:hAnsi="Times New Roman" w:eastAsia="仿宋_GB2312" w:cs="Times New Roman"/>
          <w:i w:val="0"/>
          <w:iCs w:val="0"/>
          <w:caps w:val="0"/>
          <w:color w:val="000000"/>
          <w:spacing w:val="0"/>
          <w:sz w:val="31"/>
          <w:szCs w:val="31"/>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仿宋_GB2312" w:cs="Times New Roman"/>
          <w:i w:val="0"/>
          <w:iCs w:val="0"/>
          <w:caps w:val="0"/>
          <w:color w:val="000000"/>
          <w:spacing w:val="0"/>
          <w:sz w:val="31"/>
          <w:szCs w:val="31"/>
        </w:rPr>
      </w:pPr>
      <w:r>
        <w:rPr>
          <w:rStyle w:val="6"/>
          <w:rFonts w:hint="default" w:ascii="楷体_GB2312" w:hAnsi="楷体_GB2312" w:eastAsia="楷体_GB2312" w:cs="楷体_GB2312"/>
          <w:i w:val="0"/>
          <w:iCs w:val="0"/>
          <w:caps w:val="0"/>
          <w:color w:val="000000" w:themeColor="text1"/>
          <w:spacing w:val="0"/>
          <w:sz w:val="31"/>
          <w:szCs w:val="31"/>
          <w:lang w:val="en-US" w:eastAsia="zh-CN"/>
          <w14:textFill>
            <w14:solidFill>
              <w14:schemeClr w14:val="tx1"/>
            </w14:solidFill>
          </w14:textFill>
        </w:rPr>
        <w:t>4.政府信息公开平台建设。</w:t>
      </w:r>
      <w:r>
        <w:rPr>
          <w:rFonts w:hint="default" w:ascii="Times New Roman" w:hAnsi="Times New Roman" w:eastAsia="仿宋_GB2312" w:cs="Times New Roman"/>
          <w:b/>
          <w:bCs/>
          <w:i w:val="0"/>
          <w:iCs w:val="0"/>
          <w:caps w:val="0"/>
          <w:color w:val="000000"/>
          <w:spacing w:val="0"/>
          <w:sz w:val="31"/>
          <w:szCs w:val="31"/>
          <w:lang w:val="en-US" w:eastAsia="zh-CN"/>
        </w:rPr>
        <w:t>一是</w:t>
      </w:r>
      <w:r>
        <w:rPr>
          <w:rFonts w:hint="default" w:ascii="Times New Roman" w:hAnsi="Times New Roman" w:eastAsia="仿宋_GB2312" w:cs="Times New Roman"/>
          <w:i w:val="0"/>
          <w:iCs w:val="0"/>
          <w:caps w:val="0"/>
          <w:color w:val="000000"/>
          <w:spacing w:val="0"/>
          <w:sz w:val="31"/>
          <w:szCs w:val="31"/>
        </w:rPr>
        <w:t>严格按照上级要求，切实发挥政府网站政务公开平台作用，</w:t>
      </w:r>
      <w:r>
        <w:rPr>
          <w:rFonts w:hint="default" w:ascii="Times New Roman" w:hAnsi="Times New Roman" w:eastAsia="仿宋_GB2312" w:cs="Times New Roman"/>
          <w:i w:val="0"/>
          <w:iCs w:val="0"/>
          <w:caps w:val="0"/>
          <w:color w:val="000000"/>
          <w:spacing w:val="0"/>
          <w:sz w:val="31"/>
          <w:szCs w:val="31"/>
          <w:lang w:val="en-US" w:eastAsia="zh-CN"/>
        </w:rPr>
        <w:t>结合企业群众需求，</w:t>
      </w:r>
      <w:r>
        <w:rPr>
          <w:rFonts w:hint="default" w:ascii="Times New Roman" w:hAnsi="Times New Roman" w:eastAsia="仿宋_GB2312" w:cs="Times New Roman"/>
          <w:i w:val="0"/>
          <w:iCs w:val="0"/>
          <w:caps w:val="0"/>
          <w:color w:val="000000"/>
          <w:spacing w:val="0"/>
          <w:sz w:val="31"/>
          <w:szCs w:val="31"/>
        </w:rPr>
        <w:t>加强政务</w:t>
      </w:r>
      <w:r>
        <w:rPr>
          <w:rFonts w:hint="default" w:ascii="Times New Roman" w:hAnsi="Times New Roman" w:eastAsia="仿宋_GB2312" w:cs="Times New Roman"/>
          <w:i w:val="0"/>
          <w:iCs w:val="0"/>
          <w:caps w:val="0"/>
          <w:color w:val="000000"/>
          <w:spacing w:val="0"/>
          <w:sz w:val="31"/>
          <w:szCs w:val="31"/>
          <w:lang w:val="en-US" w:eastAsia="zh-CN"/>
        </w:rPr>
        <w:t>信息的主动公开、</w:t>
      </w:r>
      <w:r>
        <w:rPr>
          <w:rFonts w:hint="default" w:ascii="Times New Roman" w:hAnsi="Times New Roman" w:eastAsia="仿宋_GB2312" w:cs="Times New Roman"/>
          <w:i w:val="0"/>
          <w:iCs w:val="0"/>
          <w:caps w:val="0"/>
          <w:color w:val="000000"/>
          <w:spacing w:val="0"/>
          <w:sz w:val="31"/>
          <w:szCs w:val="31"/>
        </w:rPr>
        <w:t>发布与解读，积极回应社会关切，推进政民互动。</w:t>
      </w:r>
      <w:r>
        <w:rPr>
          <w:rFonts w:hint="default" w:ascii="Times New Roman" w:hAnsi="Times New Roman" w:eastAsia="仿宋_GB2312" w:cs="Times New Roman"/>
          <w:b/>
          <w:bCs/>
          <w:i w:val="0"/>
          <w:iCs w:val="0"/>
          <w:caps w:val="0"/>
          <w:color w:val="000000"/>
          <w:spacing w:val="0"/>
          <w:sz w:val="31"/>
          <w:szCs w:val="31"/>
          <w:lang w:val="en-US" w:eastAsia="zh-CN"/>
        </w:rPr>
        <w:t>二是</w:t>
      </w:r>
      <w:r>
        <w:rPr>
          <w:rFonts w:hint="default" w:ascii="Times New Roman" w:hAnsi="Times New Roman" w:eastAsia="仿宋_GB2312" w:cs="Times New Roman"/>
          <w:i w:val="0"/>
          <w:iCs w:val="0"/>
          <w:caps w:val="0"/>
          <w:color w:val="000000"/>
          <w:spacing w:val="0"/>
          <w:sz w:val="31"/>
          <w:szCs w:val="31"/>
          <w:lang w:val="en-US" w:eastAsia="zh-CN"/>
        </w:rPr>
        <w:t>拓宽信息公开方式，利用微信公众号、视频号和“桃小美”直播间等形式的公开信息</w:t>
      </w:r>
      <w:r>
        <w:rPr>
          <w:rFonts w:hint="default" w:ascii="Times New Roman" w:hAnsi="Times New Roman" w:eastAsia="仿宋_GB2312" w:cs="Times New Roman"/>
          <w:i w:val="0"/>
          <w:iCs w:val="0"/>
          <w:caps w:val="0"/>
          <w:color w:val="000000"/>
          <w:spacing w:val="0"/>
          <w:sz w:val="31"/>
          <w:szCs w:val="31"/>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Style w:val="6"/>
          <w:rFonts w:hint="default" w:ascii="楷体_GB2312" w:hAnsi="楷体_GB2312" w:eastAsia="楷体_GB2312" w:cs="楷体_GB2312"/>
          <w:i w:val="0"/>
          <w:iCs w:val="0"/>
          <w:caps w:val="0"/>
          <w:color w:val="000000" w:themeColor="text1"/>
          <w:spacing w:val="0"/>
          <w:sz w:val="31"/>
          <w:szCs w:val="31"/>
          <w:lang w:val="en-US" w:eastAsia="zh-CN"/>
          <w14:textFill>
            <w14:solidFill>
              <w14:schemeClr w14:val="tx1"/>
            </w14:solidFill>
          </w14:textFill>
        </w:rPr>
        <w:t>5.监督保障。</w:t>
      </w:r>
      <w:r>
        <w:rPr>
          <w:rStyle w:val="6"/>
          <w:rFonts w:hint="default" w:ascii="Times New Roman" w:hAnsi="Times New Roman" w:eastAsia="仿宋_GB2312" w:cs="Times New Roman"/>
          <w:i w:val="0"/>
          <w:iCs w:val="0"/>
          <w:caps w:val="0"/>
          <w:color w:val="000000" w:themeColor="text1"/>
          <w:spacing w:val="0"/>
          <w:sz w:val="31"/>
          <w:szCs w:val="31"/>
          <w:shd w:val="clear" w:fill="FFFFFF"/>
          <w:lang w:val="en-US" w:eastAsia="zh-CN"/>
          <w14:textFill>
            <w14:solidFill>
              <w14:schemeClr w14:val="tx1"/>
            </w14:solidFill>
          </w14:textFill>
        </w:rPr>
        <w:t>一是成立领导小组</w:t>
      </w:r>
      <w:r>
        <w:rPr>
          <w:rFonts w:hint="default" w:ascii="Times New Roman" w:hAnsi="Times New Roman" w:eastAsia="仿宋_GB2312" w:cs="Times New Roman"/>
          <w:i w:val="0"/>
          <w:iCs w:val="0"/>
          <w:caps w:val="0"/>
          <w:color w:val="000000" w:themeColor="text1"/>
          <w:spacing w:val="0"/>
          <w:sz w:val="31"/>
          <w:szCs w:val="31"/>
          <w:shd w:val="clear" w:fill="FFFFFF"/>
          <w:lang w:val="en-US" w:eastAsia="zh-CN"/>
          <w14:textFill>
            <w14:solidFill>
              <w14:schemeClr w14:val="tx1"/>
            </w14:solidFill>
          </w14:textFill>
        </w:rPr>
        <w:t>。成立由局长任组长、分工领导任副组长，相关科室负责人任成员的领导小组，将政务公开纳入年度考核任务，加强组织协调、推进工作落实。</w:t>
      </w:r>
      <w:r>
        <w:rPr>
          <w:rFonts w:hint="default" w:ascii="Times New Roman" w:hAnsi="Times New Roman" w:eastAsia="仿宋_GB2312" w:cs="Times New Roman"/>
          <w:b/>
          <w:bCs/>
          <w:i w:val="0"/>
          <w:iCs w:val="0"/>
          <w:caps w:val="0"/>
          <w:color w:val="000000" w:themeColor="text1"/>
          <w:spacing w:val="0"/>
          <w:sz w:val="31"/>
          <w:szCs w:val="31"/>
          <w:shd w:val="clear" w:fill="FFFFFF"/>
          <w:lang w:val="en-US" w:eastAsia="zh-CN"/>
          <w14:textFill>
            <w14:solidFill>
              <w14:schemeClr w14:val="tx1"/>
            </w14:solidFill>
          </w14:textFill>
        </w:rPr>
        <w:t>二</w:t>
      </w:r>
      <w:r>
        <w:rPr>
          <w:rFonts w:hint="default" w:ascii="Times New Roman" w:hAnsi="Times New Roman" w:eastAsia="仿宋_GB2312" w:cs="Times New Roman"/>
          <w:b/>
          <w:bCs/>
          <w:i w:val="0"/>
          <w:iCs w:val="0"/>
          <w:caps w:val="0"/>
          <w:color w:val="000000" w:themeColor="text1"/>
          <w:spacing w:val="0"/>
          <w:sz w:val="31"/>
          <w:szCs w:val="31"/>
          <w:shd w:val="clear" w:fill="FFFFFF"/>
          <w14:textFill>
            <w14:solidFill>
              <w14:schemeClr w14:val="tx1"/>
            </w14:solidFill>
          </w14:textFill>
        </w:rPr>
        <w:t>是</w:t>
      </w:r>
      <w:r>
        <w:rPr>
          <w:rFonts w:hint="default" w:ascii="Times New Roman" w:hAnsi="Times New Roman" w:eastAsia="仿宋_GB2312" w:cs="Times New Roman"/>
          <w:b/>
          <w:bCs/>
          <w:i w:val="0"/>
          <w:iCs w:val="0"/>
          <w:caps w:val="0"/>
          <w:color w:val="000000" w:themeColor="text1"/>
          <w:spacing w:val="0"/>
          <w:sz w:val="31"/>
          <w:szCs w:val="31"/>
          <w:shd w:val="clear" w:fill="FFFFFF"/>
          <w:lang w:val="en-US" w:eastAsia="zh-CN"/>
          <w14:textFill>
            <w14:solidFill>
              <w14:schemeClr w14:val="tx1"/>
            </w14:solidFill>
          </w14:textFill>
        </w:rPr>
        <w:t>加强培训教育。</w:t>
      </w:r>
      <w:r>
        <w:rPr>
          <w:rFonts w:hint="default" w:ascii="Times New Roman" w:hAnsi="Times New Roman" w:eastAsia="仿宋_GB2312" w:cs="Times New Roman"/>
          <w:i w:val="0"/>
          <w:iCs w:val="0"/>
          <w:caps w:val="0"/>
          <w:color w:val="000000" w:themeColor="text1"/>
          <w:spacing w:val="0"/>
          <w:sz w:val="31"/>
          <w:szCs w:val="31"/>
          <w:shd w:val="clear" w:fill="FFFFFF"/>
          <w:lang w:val="en-US" w:eastAsia="zh-CN"/>
          <w14:textFill>
            <w14:solidFill>
              <w14:schemeClr w14:val="tx1"/>
            </w14:solidFill>
          </w14:textFill>
        </w:rPr>
        <w:t>组织相关人员认真学习</w:t>
      </w:r>
      <w:r>
        <w:rPr>
          <w:rFonts w:hint="default" w:ascii="Times New Roman" w:hAnsi="Times New Roman" w:eastAsia="仿宋_GB2312" w:cs="Times New Roman"/>
          <w:i w:val="0"/>
          <w:iCs w:val="0"/>
          <w:caps w:val="0"/>
          <w:color w:val="000000" w:themeColor="text1"/>
          <w:spacing w:val="0"/>
          <w:sz w:val="31"/>
          <w:szCs w:val="31"/>
          <w:shd w:val="clear" w:fill="FFFFFF"/>
          <w14:textFill>
            <w14:solidFill>
              <w14:schemeClr w14:val="tx1"/>
            </w14:solidFill>
          </w14:textFill>
        </w:rPr>
        <w:t>《政府信息公开条例》</w:t>
      </w:r>
      <w:r>
        <w:rPr>
          <w:rFonts w:hint="default" w:ascii="Times New Roman" w:hAnsi="Times New Roman" w:eastAsia="仿宋_GB2312" w:cs="Times New Roman"/>
          <w:i w:val="0"/>
          <w:iCs w:val="0"/>
          <w:caps w:val="0"/>
          <w:color w:val="000000" w:themeColor="text1"/>
          <w:spacing w:val="0"/>
          <w:sz w:val="31"/>
          <w:szCs w:val="31"/>
          <w:shd w:val="clear"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1"/>
          <w:szCs w:val="31"/>
          <w:shd w:val="clear" w:fill="FFFFFF"/>
          <w:lang w:val="en-US" w:eastAsia="zh-CN"/>
          <w14:textFill>
            <w14:solidFill>
              <w14:schemeClr w14:val="tx1"/>
            </w14:solidFill>
          </w14:textFill>
        </w:rPr>
        <w:t>将政务信息公开学习列入年度学习计划，不断提升政务信息公开自觉性。</w:t>
      </w:r>
      <w:r>
        <w:rPr>
          <w:rFonts w:hint="default" w:ascii="Times New Roman" w:hAnsi="Times New Roman" w:eastAsia="仿宋_GB2312" w:cs="Times New Roman"/>
          <w:b/>
          <w:bCs/>
          <w:i w:val="0"/>
          <w:iCs w:val="0"/>
          <w:caps w:val="0"/>
          <w:color w:val="000000" w:themeColor="text1"/>
          <w:spacing w:val="0"/>
          <w:sz w:val="31"/>
          <w:szCs w:val="31"/>
          <w:shd w:val="clear" w:fill="FFFFFF"/>
          <w:lang w:val="en-US" w:eastAsia="zh-CN"/>
          <w14:textFill>
            <w14:solidFill>
              <w14:schemeClr w14:val="tx1"/>
            </w14:solidFill>
          </w14:textFill>
        </w:rPr>
        <w:t>三是严格审核信息</w:t>
      </w:r>
      <w:r>
        <w:rPr>
          <w:rFonts w:hint="default" w:ascii="Times New Roman" w:hAnsi="Times New Roman" w:eastAsia="仿宋_GB2312" w:cs="Times New Roman"/>
          <w:b/>
          <w:bCs/>
          <w:i w:val="0"/>
          <w:iCs w:val="0"/>
          <w:caps w:val="0"/>
          <w:color w:val="000000" w:themeColor="text1"/>
          <w:spacing w:val="0"/>
          <w:sz w:val="31"/>
          <w:szCs w:val="31"/>
          <w:shd w:val="clear" w:fill="FFFFFF"/>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1"/>
          <w:szCs w:val="31"/>
          <w:shd w:val="clear" w:fill="FFFFFF"/>
          <w14:textFill>
            <w14:solidFill>
              <w14:schemeClr w14:val="tx1"/>
            </w14:solidFill>
          </w14:textFill>
        </w:rPr>
        <w:t>严格执行信息发布审核机制，</w:t>
      </w:r>
      <w:r>
        <w:rPr>
          <w:rFonts w:hint="default" w:ascii="Times New Roman" w:hAnsi="Times New Roman" w:eastAsia="仿宋_GB2312" w:cs="Times New Roman"/>
          <w:i w:val="0"/>
          <w:iCs w:val="0"/>
          <w:caps w:val="0"/>
          <w:color w:val="000000" w:themeColor="text1"/>
          <w:spacing w:val="0"/>
          <w:sz w:val="31"/>
          <w:szCs w:val="31"/>
          <w:shd w:val="clear" w:fill="FFFFFF"/>
          <w:lang w:val="en-US" w:eastAsia="zh-CN"/>
          <w14:textFill>
            <w14:solidFill>
              <w14:schemeClr w14:val="tx1"/>
            </w14:solidFill>
          </w14:textFill>
        </w:rPr>
        <w:t>安排专人对公开的信息进行审核，确保信息公开准确性。</w:t>
      </w:r>
    </w:p>
    <w:p>
      <w:pPr>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p>
    <w:p>
      <w:pPr>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p>
    <w:p>
      <w:pPr>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p>
    <w:p>
      <w:pPr>
        <w:ind w:firstLine="640" w:firstLineChars="200"/>
        <w:rPr>
          <w:rFonts w:hint="eastAsia"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二、主动公开政府信息情况</w:t>
      </w:r>
    </w:p>
    <w:tbl>
      <w:tblPr>
        <w:tblStyle w:val="4"/>
        <w:tblW w:w="8824" w:type="dxa"/>
        <w:jc w:val="center"/>
        <w:tblLayout w:type="fixed"/>
        <w:tblCellMar>
          <w:top w:w="0" w:type="dxa"/>
          <w:left w:w="108" w:type="dxa"/>
          <w:bottom w:w="0" w:type="dxa"/>
          <w:right w:w="108" w:type="dxa"/>
        </w:tblCellMar>
      </w:tblPr>
      <w:tblGrid>
        <w:gridCol w:w="2206"/>
        <w:gridCol w:w="2206"/>
        <w:gridCol w:w="2206"/>
        <w:gridCol w:w="2206"/>
      </w:tblGrid>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第二十条第（一）项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信息内容</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本年制发件数</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本年废止件数</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现行有效件数</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规章</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行政规范性文件</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c>
          <w:tcPr>
            <w:tcW w:w="2206" w:type="dxa"/>
            <w:tcBorders>
              <w:top w:val="nil"/>
              <w:left w:val="nil"/>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第二十条第（五）项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行政许可</w:t>
            </w:r>
          </w:p>
        </w:tc>
        <w:tc>
          <w:tcPr>
            <w:tcW w:w="6618"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32558</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第二十条第（六）项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本年处理决定数量</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行政处罚</w:t>
            </w:r>
          </w:p>
        </w:tc>
        <w:tc>
          <w:tcPr>
            <w:tcW w:w="6618"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行政强制</w:t>
            </w:r>
          </w:p>
        </w:tc>
        <w:tc>
          <w:tcPr>
            <w:tcW w:w="6618"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r>
        <w:tblPrEx>
          <w:tblCellMar>
            <w:top w:w="0" w:type="dxa"/>
            <w:left w:w="108" w:type="dxa"/>
            <w:bottom w:w="0" w:type="dxa"/>
            <w:right w:w="108" w:type="dxa"/>
          </w:tblCellMar>
        </w:tblPrEx>
        <w:trPr>
          <w:trHeight w:val="567" w:hRule="atLeast"/>
          <w:jc w:val="center"/>
        </w:trPr>
        <w:tc>
          <w:tcPr>
            <w:tcW w:w="8824" w:type="dxa"/>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widowControl/>
              <w:jc w:val="center"/>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第二十条第（八）项</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信息内容</w:t>
            </w:r>
          </w:p>
        </w:tc>
        <w:tc>
          <w:tcPr>
            <w:tcW w:w="6618"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本年收费金额（单位：万元）</w:t>
            </w:r>
          </w:p>
        </w:tc>
      </w:tr>
      <w:tr>
        <w:tblPrEx>
          <w:tblCellMar>
            <w:top w:w="0" w:type="dxa"/>
            <w:left w:w="108" w:type="dxa"/>
            <w:bottom w:w="0" w:type="dxa"/>
            <w:right w:w="108" w:type="dxa"/>
          </w:tblCellMar>
        </w:tblPrEx>
        <w:trPr>
          <w:trHeight w:val="567" w:hRule="atLeast"/>
          <w:jc w:val="center"/>
        </w:trPr>
        <w:tc>
          <w:tcPr>
            <w:tcW w:w="2206" w:type="dxa"/>
            <w:tcBorders>
              <w:top w:val="nil"/>
              <w:left w:val="single" w:color="auto" w:sz="8" w:space="0"/>
              <w:bottom w:val="single" w:color="auto" w:sz="8" w:space="0"/>
              <w:right w:val="single" w:color="auto" w:sz="8" w:space="0"/>
            </w:tcBorders>
            <w:shd w:val="clear" w:color="auto" w:fill="auto"/>
            <w:noWrap w:val="0"/>
            <w:vAlign w:val="center"/>
          </w:tcPr>
          <w:p>
            <w:pPr>
              <w:widowControl/>
              <w:jc w:val="left"/>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行政事业性收费</w:t>
            </w:r>
          </w:p>
        </w:tc>
        <w:tc>
          <w:tcPr>
            <w:tcW w:w="6618" w:type="dxa"/>
            <w:gridSpan w:val="3"/>
            <w:tcBorders>
              <w:top w:val="single" w:color="auto" w:sz="8" w:space="0"/>
              <w:left w:val="nil"/>
              <w:bottom w:val="single" w:color="auto" w:sz="8" w:space="0"/>
              <w:right w:val="single" w:color="000000" w:sz="8" w:space="0"/>
            </w:tcBorders>
            <w:shd w:val="clear" w:color="auto" w:fill="auto"/>
            <w:noWrap w:val="0"/>
            <w:vAlign w:val="center"/>
          </w:tcPr>
          <w:p>
            <w:pPr>
              <w:widowControl/>
              <w:jc w:val="cente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pPr>
            <w:r>
              <w:rPr>
                <w:rFonts w:hint="default" w:ascii="Times New Roman" w:hAnsi="Times New Roman" w:eastAsia="仿宋_GB2312" w:cs="Times New Roman"/>
                <w:color w:val="000000" w:themeColor="text1"/>
                <w:kern w:val="0"/>
                <w:szCs w:val="21"/>
                <w:lang w:val="en-US" w:eastAsia="zh-CN"/>
                <w14:textFill>
                  <w14:solidFill>
                    <w14:schemeClr w14:val="tx1"/>
                  </w14:solidFill>
                </w14:textFill>
              </w:rPr>
              <w:t>0</w:t>
            </w:r>
          </w:p>
        </w:tc>
      </w:tr>
    </w:tbl>
    <w:p>
      <w:pPr>
        <w:widowControl/>
        <w:numPr>
          <w:ilvl w:val="0"/>
          <w:numId w:val="0"/>
        </w:numPr>
        <w:ind w:left="0" w:leftChars="0" w:firstLine="640" w:firstLineChars="200"/>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ind w:left="0" w:leftChars="0" w:firstLine="640" w:firstLineChars="200"/>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ind w:left="0" w:leftChars="0" w:firstLine="640" w:firstLineChars="200"/>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ind w:left="0" w:leftChars="0" w:firstLine="640" w:firstLineChars="200"/>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ind w:left="0" w:leftChars="0" w:firstLine="640" w:firstLineChars="200"/>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ind w:left="0" w:leftChars="0" w:firstLine="640" w:firstLineChars="200"/>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ind w:left="0" w:leftChars="0" w:firstLine="640" w:firstLineChars="200"/>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jc w:val="left"/>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pPr>
    </w:p>
    <w:p>
      <w:pPr>
        <w:widowControl/>
        <w:numPr>
          <w:ilvl w:val="0"/>
          <w:numId w:val="0"/>
        </w:numPr>
        <w:ind w:left="0" w:leftChars="0"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t>二、</w:t>
      </w:r>
      <w:r>
        <w:rPr>
          <w:rFonts w:hint="default" w:ascii="Times New Roman" w:hAnsi="Times New Roman" w:eastAsia="黑体" w:cs="Times New Roman"/>
          <w:color w:val="000000" w:themeColor="text1"/>
          <w:sz w:val="32"/>
          <w:szCs w:val="32"/>
          <w14:textFill>
            <w14:solidFill>
              <w14:schemeClr w14:val="tx1"/>
            </w14:solidFill>
          </w14:textFill>
        </w:rPr>
        <w:t>收到和处理政府信息公开申请情况</w:t>
      </w:r>
    </w:p>
    <w:tbl>
      <w:tblPr>
        <w:tblStyle w:val="4"/>
        <w:tblW w:w="95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5"/>
        <w:gridCol w:w="1699"/>
        <w:gridCol w:w="2973"/>
        <w:gridCol w:w="751"/>
        <w:gridCol w:w="540"/>
        <w:gridCol w:w="540"/>
        <w:gridCol w:w="720"/>
        <w:gridCol w:w="675"/>
        <w:gridCol w:w="526"/>
        <w:gridCol w:w="7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tcBorders>
              <w:top w:val="single" w:color="auto" w:sz="8"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楷体_GB2312" w:cs="Times New Roman"/>
                <w:color w:val="000000" w:themeColor="text1"/>
                <w:kern w:val="0"/>
                <w:szCs w:val="21"/>
                <w14:textFill>
                  <w14:solidFill>
                    <w14:schemeClr w14:val="tx1"/>
                  </w14:solidFill>
                </w14:textFill>
              </w:rPr>
            </w:pPr>
            <w:r>
              <w:rPr>
                <w:rFonts w:hint="default" w:ascii="Times New Roman" w:hAnsi="Times New Roman" w:eastAsia="楷体_GB2312" w:cs="Times New Roman"/>
                <w:color w:val="000000" w:themeColor="text1"/>
                <w:kern w:val="0"/>
                <w:szCs w:val="21"/>
                <w14:textFill>
                  <w14:solidFill>
                    <w14:schemeClr w14:val="tx1"/>
                  </w14:solidFill>
                </w14:textFill>
              </w:rPr>
              <w:t>（本列数据的勾稽关系为：第一项加第二项之和，</w:t>
            </w:r>
          </w:p>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楷体_GB2312" w:cs="Times New Roman"/>
                <w:color w:val="000000" w:themeColor="text1"/>
                <w:kern w:val="0"/>
                <w:szCs w:val="21"/>
                <w14:textFill>
                  <w14:solidFill>
                    <w14:schemeClr w14:val="tx1"/>
                  </w14:solidFill>
                </w14:textFill>
              </w:rPr>
              <w:t>等于第三项加第四项之和）</w:t>
            </w:r>
          </w:p>
        </w:tc>
        <w:tc>
          <w:tcPr>
            <w:tcW w:w="4448" w:type="dxa"/>
            <w:gridSpan w:val="7"/>
            <w:tcBorders>
              <w:top w:val="single" w:color="auto" w:sz="8"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12746" w:type="dxa"/>
            <w:gridSpan w:val="3"/>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themeColor="text1"/>
                <w:szCs w:val="21"/>
                <w14:textFill>
                  <w14:solidFill>
                    <w14:schemeClr w14:val="tx1"/>
                  </w14:solidFill>
                </w14:textFill>
              </w:rPr>
            </w:pPr>
          </w:p>
        </w:tc>
        <w:tc>
          <w:tcPr>
            <w:tcW w:w="747"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自然人</w:t>
            </w:r>
          </w:p>
        </w:tc>
        <w:tc>
          <w:tcPr>
            <w:tcW w:w="3000" w:type="dxa"/>
            <w:gridSpan w:val="5"/>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法人或其他组织</w:t>
            </w:r>
          </w:p>
        </w:tc>
        <w:tc>
          <w:tcPr>
            <w:tcW w:w="701" w:type="dxa"/>
            <w:vMerge w:val="restart"/>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12746" w:type="dxa"/>
            <w:gridSpan w:val="3"/>
            <w:vMerge w:val="continue"/>
            <w:tcBorders>
              <w:top w:val="single" w:color="auto" w:sz="8"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color w:val="000000" w:themeColor="text1"/>
                <w:szCs w:val="21"/>
                <w14:textFill>
                  <w14:solidFill>
                    <w14:schemeClr w14:val="tx1"/>
                  </w14:solidFill>
                </w14:textFill>
              </w:rPr>
            </w:pPr>
          </w:p>
        </w:tc>
        <w:tc>
          <w:tcPr>
            <w:tcW w:w="444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06" w:leftChars="-51" w:right="-107" w:rightChars="-51" w:hanging="1"/>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商业企业</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07" w:leftChars="-51" w:right="-107" w:rightChars="-51"/>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科研机构</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07" w:leftChars="-51" w:right="-107" w:rightChars="-51"/>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社会公益组织</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06" w:leftChars="-51" w:right="-107" w:rightChars="-51" w:hanging="1"/>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法律服务机构</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63" w:leftChars="-30" w:right="-134" w:rightChars="-64"/>
              <w:jc w:val="center"/>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其他</w:t>
            </w:r>
          </w:p>
        </w:tc>
        <w:tc>
          <w:tcPr>
            <w:tcW w:w="701" w:type="dxa"/>
            <w:vMerge w:val="continue"/>
            <w:tcBorders>
              <w:top w:val="single" w:color="auto" w:sz="4" w:space="0"/>
              <w:left w:val="single" w:color="auto" w:sz="4" w:space="0"/>
              <w:bottom w:val="single" w:color="auto" w:sz="4" w:space="0"/>
              <w:right w:val="single" w:color="auto" w:sz="8"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一、</w:t>
            </w:r>
            <w:bookmarkStart w:id="0" w:name="_Hlk66973412"/>
            <w:r>
              <w:rPr>
                <w:rFonts w:hint="default" w:ascii="Times New Roman" w:hAnsi="Times New Roman" w:eastAsia="黑体" w:cs="Times New Roman"/>
                <w:color w:val="000000" w:themeColor="text1"/>
                <w:kern w:val="0"/>
                <w:szCs w:val="21"/>
                <w14:textFill>
                  <w14:solidFill>
                    <w14:schemeClr w14:val="tx1"/>
                  </w14:solidFill>
                </w14:textFill>
              </w:rPr>
              <w:t>本年新收政府信息公开申请数量</w:t>
            </w:r>
            <w:bookmarkEnd w:id="0"/>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lang w:val="en-US" w:eastAsia="zh-CN"/>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二、上年结转政府信息公开申请数量</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tcBorders>
              <w:top w:val="single" w:color="auto" w:sz="4" w:space="0"/>
              <w:left w:val="single" w:color="auto" w:sz="8" w:space="0"/>
              <w:bottom w:val="single" w:color="auto" w:sz="4" w:space="0"/>
              <w:right w:val="single" w:color="auto" w:sz="4" w:space="0"/>
            </w:tcBorders>
            <w:noWrap w:val="0"/>
            <w:tcMar>
              <w:top w:w="0" w:type="dxa"/>
              <w:left w:w="108" w:type="dxa"/>
              <w:bottom w:w="0" w:type="dxa"/>
              <w:right w:w="108" w:type="dxa"/>
            </w:tcMar>
            <w:vAlign w:val="center"/>
          </w:tcPr>
          <w:p>
            <w:pPr>
              <w:widowControl/>
              <w:spacing w:after="180"/>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三、本年度办理结果</w:t>
            </w:r>
          </w:p>
        </w:tc>
        <w:tc>
          <w:tcPr>
            <w:tcW w:w="4677"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（一）予以公开</w:t>
            </w:r>
          </w:p>
        </w:tc>
        <w:tc>
          <w:tcPr>
            <w:tcW w:w="7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0"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（二）部分公开（</w:t>
            </w:r>
            <w:bookmarkStart w:id="1" w:name="_Hlk66973981"/>
            <w:r>
              <w:rPr>
                <w:rFonts w:hint="default" w:ascii="Times New Roman" w:hAnsi="Times New Roman" w:eastAsia="黑体" w:cs="Times New Roman"/>
                <w:color w:val="000000" w:themeColor="text1"/>
                <w:kern w:val="0"/>
                <w:szCs w:val="21"/>
                <w14:textFill>
                  <w14:solidFill>
                    <w14:schemeClr w14:val="tx1"/>
                  </w14:solidFill>
                </w14:textFill>
              </w:rPr>
              <w:t>区分处理的，只计这一情形，不计其他情形</w:t>
            </w:r>
            <w:bookmarkEnd w:id="1"/>
            <w:r>
              <w:rPr>
                <w:rFonts w:hint="default" w:ascii="Times New Roman" w:hAnsi="Times New Roman" w:eastAsia="黑体" w:cs="Times New Roman"/>
                <w:color w:val="000000" w:themeColor="text1"/>
                <w:kern w:val="0"/>
                <w:szCs w:val="21"/>
                <w14:textFill>
                  <w14:solidFill>
                    <w14:schemeClr w14:val="tx1"/>
                  </w14:solidFill>
                </w14:textFill>
              </w:rPr>
              <w:t>）</w:t>
            </w:r>
          </w:p>
        </w:tc>
        <w:tc>
          <w:tcPr>
            <w:tcW w:w="75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3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0"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1701"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07" w:leftChars="-51"/>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（三）不予公开</w:t>
            </w: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1.属于国家秘密</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2.</w:t>
            </w:r>
            <w:bookmarkStart w:id="2" w:name="_Hlk66974104"/>
            <w:r>
              <w:rPr>
                <w:rFonts w:hint="default" w:ascii="Times New Roman" w:hAnsi="Times New Roman" w:eastAsia="仿宋_GB2312" w:cs="Times New Roman"/>
                <w:color w:val="000000" w:themeColor="text1"/>
                <w:kern w:val="0"/>
                <w:szCs w:val="21"/>
                <w14:textFill>
                  <w14:solidFill>
                    <w14:schemeClr w14:val="tx1"/>
                  </w14:solidFill>
                </w14:textFill>
              </w:rPr>
              <w:t>其他法律行政法规禁止公开</w:t>
            </w:r>
            <w:bookmarkEnd w:id="2"/>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3.危及“三安全一稳定”</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4.</w:t>
            </w:r>
            <w:bookmarkStart w:id="3" w:name="_Hlk66974290"/>
            <w:r>
              <w:rPr>
                <w:rFonts w:hint="default" w:ascii="Times New Roman" w:hAnsi="Times New Roman" w:eastAsia="仿宋_GB2312" w:cs="Times New Roman"/>
                <w:color w:val="000000" w:themeColor="text1"/>
                <w:kern w:val="0"/>
                <w:szCs w:val="21"/>
                <w14:textFill>
                  <w14:solidFill>
                    <w14:schemeClr w14:val="tx1"/>
                  </w14:solidFill>
                </w14:textFill>
              </w:rPr>
              <w:t>保护第三方合法权益</w:t>
            </w:r>
            <w:bookmarkEnd w:id="3"/>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5.属于三类内部事务信息</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6.</w:t>
            </w:r>
            <w:bookmarkStart w:id="4" w:name="_Hlk66974555"/>
            <w:r>
              <w:rPr>
                <w:rFonts w:hint="default" w:ascii="Times New Roman" w:hAnsi="Times New Roman" w:eastAsia="仿宋_GB2312" w:cs="Times New Roman"/>
                <w:color w:val="000000" w:themeColor="text1"/>
                <w:kern w:val="0"/>
                <w:szCs w:val="21"/>
                <w14:textFill>
                  <w14:solidFill>
                    <w14:schemeClr w14:val="tx1"/>
                  </w14:solidFill>
                </w14:textFill>
              </w:rPr>
              <w:t>属于四类过程性信息</w:t>
            </w:r>
            <w:bookmarkEnd w:id="4"/>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7.属于行政执法案卷</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8.</w:t>
            </w:r>
            <w:bookmarkStart w:id="5" w:name="_Hlk66975211"/>
            <w:r>
              <w:rPr>
                <w:rFonts w:hint="default" w:ascii="Times New Roman" w:hAnsi="Times New Roman" w:eastAsia="仿宋_GB2312" w:cs="Times New Roman"/>
                <w:color w:val="000000" w:themeColor="text1"/>
                <w:kern w:val="0"/>
                <w:szCs w:val="21"/>
                <w14:textFill>
                  <w14:solidFill>
                    <w14:schemeClr w14:val="tx1"/>
                  </w14:solidFill>
                </w14:textFill>
              </w:rPr>
              <w:t>属于行政查询事项</w:t>
            </w:r>
            <w:bookmarkEnd w:id="5"/>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1701"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07" w:leftChars="-51"/>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（四）无法提供</w:t>
            </w: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1.本机关不掌握相关政府信息</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2.</w:t>
            </w:r>
            <w:bookmarkStart w:id="6" w:name="_Hlk66975392"/>
            <w:r>
              <w:rPr>
                <w:rFonts w:hint="default" w:ascii="Times New Roman" w:hAnsi="Times New Roman" w:eastAsia="仿宋_GB2312" w:cs="Times New Roman"/>
                <w:color w:val="000000" w:themeColor="text1"/>
                <w:kern w:val="0"/>
                <w:szCs w:val="21"/>
                <w14:textFill>
                  <w14:solidFill>
                    <w14:schemeClr w14:val="tx1"/>
                  </w14:solidFill>
                </w14:textFill>
              </w:rPr>
              <w:t>没有现成信息需要另行制作</w:t>
            </w:r>
            <w:bookmarkEnd w:id="6"/>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3.</w:t>
            </w:r>
            <w:bookmarkStart w:id="7" w:name="_Hlk66975466"/>
            <w:r>
              <w:rPr>
                <w:rFonts w:hint="default" w:ascii="Times New Roman" w:hAnsi="Times New Roman" w:eastAsia="仿宋_GB2312" w:cs="Times New Roman"/>
                <w:color w:val="000000" w:themeColor="text1"/>
                <w:kern w:val="0"/>
                <w:szCs w:val="21"/>
                <w14:textFill>
                  <w14:solidFill>
                    <w14:schemeClr w14:val="tx1"/>
                  </w14:solidFill>
                </w14:textFill>
              </w:rPr>
              <w:t>补正后申请内容仍不明确</w:t>
            </w:r>
            <w:bookmarkEnd w:id="7"/>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1701"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ind w:left="-107" w:leftChars="-51"/>
              <w:rPr>
                <w:rFonts w:hint="default" w:ascii="Times New Roman" w:hAnsi="Times New Roman" w:eastAsia="黑体" w:cs="Times New Roman"/>
                <w:color w:val="000000" w:themeColor="text1"/>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（五）不予处理</w:t>
            </w: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1.</w:t>
            </w:r>
            <w:bookmarkStart w:id="8" w:name="_Hlk66975537"/>
            <w:r>
              <w:rPr>
                <w:rFonts w:hint="default" w:ascii="Times New Roman" w:hAnsi="Times New Roman" w:eastAsia="仿宋_GB2312" w:cs="Times New Roman"/>
                <w:color w:val="000000" w:themeColor="text1"/>
                <w:kern w:val="0"/>
                <w:szCs w:val="21"/>
                <w14:textFill>
                  <w14:solidFill>
                    <w14:schemeClr w14:val="tx1"/>
                  </w14:solidFill>
                </w14:textFill>
              </w:rPr>
              <w:t>信访举报投诉类申请</w:t>
            </w:r>
            <w:bookmarkEnd w:id="8"/>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2.重复申请</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3.要求提供公开出版物</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4.无正当理由大量反复申请</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5.要求行政机关确认或重新</w:t>
            </w:r>
          </w:p>
          <w:p>
            <w:pPr>
              <w:widowControl/>
              <w:ind w:firstLine="210" w:firstLineChars="100"/>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kern w:val="0"/>
                <w:szCs w:val="21"/>
                <w14:textFill>
                  <w14:solidFill>
                    <w14:schemeClr w14:val="tx1"/>
                  </w14:solidFill>
                </w14:textFill>
              </w:rPr>
              <w:t>出具已获取信息</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1701" w:type="dxa"/>
            <w:vMerge w:val="restart"/>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（六）其他处理</w:t>
            </w:r>
          </w:p>
        </w:tc>
        <w:tc>
          <w:tcPr>
            <w:tcW w:w="2976"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1.申请人无正当理由逾期不补正、行政机关不再处理其政府信息公开申请</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kern w:val="0"/>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2.申请人逾期未按收费通知要求缴纳费用、行政机关不再处理其政府信息公开申请</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kern w:val="0"/>
                <w:szCs w:val="21"/>
                <w14:textFill>
                  <w14:solidFill>
                    <w14:schemeClr w14:val="tx1"/>
                  </w14:solidFill>
                </w14:textFill>
              </w:rPr>
            </w:pPr>
          </w:p>
        </w:tc>
        <w:tc>
          <w:tcPr>
            <w:tcW w:w="2976" w:type="dxa"/>
            <w:tcBorders>
              <w:top w:val="single" w:color="auto" w:sz="4" w:space="0"/>
              <w:left w:val="single" w:color="auto" w:sz="4" w:space="0"/>
              <w:bottom w:val="single" w:color="auto" w:sz="4" w:space="0"/>
              <w:right w:val="single" w:color="auto" w:sz="4" w:space="0"/>
            </w:tcBorders>
            <w:noWrap w:val="0"/>
            <w:vAlign w:val="center"/>
          </w:tcPr>
          <w:p>
            <w:pPr>
              <w:widowControl/>
              <w:rPr>
                <w:rFonts w:hint="default" w:ascii="Times New Roman" w:hAnsi="Times New Roman" w:eastAsia="仿宋_GB2312" w:cs="Times New Roman"/>
                <w:color w:val="000000" w:themeColor="text1"/>
                <w:kern w:val="0"/>
                <w:szCs w:val="2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3.其他</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vMerge w:val="continue"/>
            <w:tcBorders>
              <w:top w:val="single" w:color="auto" w:sz="4" w:space="0"/>
              <w:left w:val="single" w:color="auto" w:sz="8" w:space="0"/>
              <w:bottom w:val="single" w:color="auto" w:sz="4" w:space="0"/>
              <w:right w:val="single" w:color="auto" w:sz="4" w:space="0"/>
            </w:tcBorders>
            <w:noWrap w:val="0"/>
            <w:vAlign w:val="center"/>
          </w:tcPr>
          <w:p>
            <w:pPr>
              <w:widowControl/>
              <w:jc w:val="left"/>
              <w:rPr>
                <w:rFonts w:hint="default" w:ascii="Times New Roman" w:hAnsi="Times New Roman" w:eastAsia="黑体" w:cs="Times New Roman"/>
                <w:color w:val="000000" w:themeColor="text1"/>
                <w:szCs w:val="21"/>
                <w14:textFill>
                  <w14:solidFill>
                    <w14:schemeClr w14:val="tx1"/>
                  </w14:solidFill>
                </w14:textFill>
              </w:rPr>
            </w:pPr>
          </w:p>
        </w:tc>
        <w:tc>
          <w:tcPr>
            <w:tcW w:w="4677" w:type="dxa"/>
            <w:gridSpan w:val="2"/>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（七）总计</w:t>
            </w:r>
          </w:p>
        </w:tc>
        <w:tc>
          <w:tcPr>
            <w:tcW w:w="74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4"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tcBorders>
              <w:top w:val="single" w:color="auto" w:sz="4"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widowControl/>
              <w:rPr>
                <w:rFonts w:hint="default" w:ascii="Times New Roman" w:hAnsi="Times New Roman" w:eastAsia="黑体" w:cs="Times New Roman"/>
                <w:color w:val="000000" w:themeColor="text1"/>
                <w:kern w:val="0"/>
                <w:szCs w:val="21"/>
                <w14:textFill>
                  <w14:solidFill>
                    <w14:schemeClr w14:val="tx1"/>
                  </w14:solidFill>
                </w14:textFill>
              </w:rPr>
            </w:pPr>
            <w:r>
              <w:rPr>
                <w:rFonts w:hint="default" w:ascii="Times New Roman" w:hAnsi="Times New Roman" w:eastAsia="黑体" w:cs="Times New Roman"/>
                <w:color w:val="000000" w:themeColor="text1"/>
                <w:kern w:val="0"/>
                <w:szCs w:val="21"/>
                <w14:textFill>
                  <w14:solidFill>
                    <w14:schemeClr w14:val="tx1"/>
                  </w14:solidFill>
                </w14:textFill>
              </w:rPr>
              <w:t>四、结转下年度继续办理</w:t>
            </w:r>
          </w:p>
        </w:tc>
        <w:tc>
          <w:tcPr>
            <w:tcW w:w="747" w:type="dxa"/>
            <w:tcBorders>
              <w:top w:val="single" w:color="auto" w:sz="4"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40" w:type="dxa"/>
            <w:tcBorders>
              <w:top w:val="single" w:color="auto" w:sz="4"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20" w:type="dxa"/>
            <w:tcBorders>
              <w:top w:val="single" w:color="auto" w:sz="4"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75" w:type="dxa"/>
            <w:tcBorders>
              <w:top w:val="single" w:color="auto" w:sz="4"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25" w:type="dxa"/>
            <w:tcBorders>
              <w:top w:val="single" w:color="auto" w:sz="4" w:space="0"/>
              <w:left w:val="single" w:color="auto" w:sz="4" w:space="0"/>
              <w:bottom w:val="single" w:color="auto" w:sz="8" w:space="0"/>
              <w:right w:val="single" w:color="auto" w:sz="4"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701" w:type="dxa"/>
            <w:tcBorders>
              <w:top w:val="single" w:color="auto" w:sz="4"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Times New Roman" w:hAnsi="Times New Roman" w:eastAsia="仿宋_GB2312" w:cs="Times New Roman"/>
                <w:color w:val="000000" w:themeColor="text1"/>
                <w:szCs w:val="2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bl>
    <w:p>
      <w:pPr>
        <w:pStyle w:val="3"/>
        <w:spacing w:before="0" w:beforeAutospacing="0" w:after="0" w:afterAutospacing="0" w:line="600"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四、政府信息公开行政复议、行政诉讼情况（仅限因政府信息公开申请引起行政复议或行政诉讼的）表格部分建议转换成图片</w:t>
      </w:r>
    </w:p>
    <w:tbl>
      <w:tblPr>
        <w:tblStyle w:val="4"/>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行政复议</w:t>
            </w:r>
          </w:p>
        </w:tc>
        <w:tc>
          <w:tcPr>
            <w:tcW w:w="5997" w:type="dxa"/>
            <w:gridSpan w:val="10"/>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ind w:left="-149" w:leftChars="-71" w:right="-170" w:rightChars="-81"/>
              <w:jc w:val="center"/>
              <w:rPr>
                <w:rFonts w:hint="default" w:ascii="Times New Roman" w:hAnsi="Times New Roman" w:eastAsia="黑体" w:cs="Times New Roman"/>
                <w:color w:val="000000" w:themeColor="text1"/>
                <w:kern w:val="0"/>
                <w:sz w:val="20"/>
                <w:szCs w:val="20"/>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w:t>
            </w:r>
          </w:p>
          <w:p>
            <w:pPr>
              <w:widowControl/>
              <w:ind w:left="-149" w:leftChars="-71" w:right="-170" w:rightChars="-81"/>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维持</w:t>
            </w:r>
          </w:p>
        </w:tc>
        <w:tc>
          <w:tcPr>
            <w:tcW w:w="604" w:type="dxa"/>
            <w:vMerge w:val="restart"/>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ind w:left="-43" w:leftChars="-21" w:right="-132" w:rightChars="-63" w:hanging="1"/>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82" w:leftChars="-39" w:right="-97" w:rightChars="-46"/>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118" w:leftChars="-56" w:right="-118" w:rightChars="-56"/>
              <w:jc w:val="center"/>
              <w:rPr>
                <w:rFonts w:hint="default" w:ascii="Times New Roman" w:hAnsi="Times New Roman" w:eastAsia="黑体" w:cs="Times New Roman"/>
                <w:color w:val="000000" w:themeColor="text1"/>
                <w:kern w:val="0"/>
                <w:sz w:val="20"/>
                <w:szCs w:val="20"/>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尚未</w:t>
            </w:r>
          </w:p>
          <w:p>
            <w:pPr>
              <w:widowControl/>
              <w:ind w:left="-118" w:leftChars="-56" w:right="-118" w:rightChars="-56"/>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审结</w:t>
            </w:r>
          </w:p>
        </w:tc>
        <w:tc>
          <w:tcPr>
            <w:tcW w:w="658" w:type="dxa"/>
            <w:vMerge w:val="restart"/>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spacing w:line="320" w:lineRule="exact"/>
              <w:jc w:val="center"/>
              <w:rPr>
                <w:rFonts w:hint="default" w:ascii="Times New Roman" w:hAnsi="Times New Roman" w:eastAsia="黑体" w:cs="Times New Roman"/>
                <w:color w:val="000000" w:themeColor="text1"/>
                <w:kern w:val="0"/>
                <w:sz w:val="20"/>
                <w:szCs w:val="20"/>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总</w:t>
            </w:r>
          </w:p>
          <w:p>
            <w:pPr>
              <w:widowControl/>
              <w:spacing w:line="320" w:lineRule="exact"/>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计</w:t>
            </w:r>
          </w:p>
        </w:tc>
        <w:tc>
          <w:tcPr>
            <w:tcW w:w="2970"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黑体" w:cs="Times New Roman"/>
                <w:color w:val="000000" w:themeColor="text1"/>
                <w14:textFill>
                  <w14:solidFill>
                    <w14:schemeClr w14:val="tx1"/>
                  </w14:solidFill>
                </w14:textFill>
              </w:rPr>
            </w:pPr>
            <w:bookmarkStart w:id="9" w:name="_Hlk67039688"/>
            <w:r>
              <w:rPr>
                <w:rFonts w:hint="default" w:ascii="Times New Roman" w:hAnsi="Times New Roman" w:eastAsia="黑体" w:cs="Times New Roman"/>
                <w:color w:val="000000" w:themeColor="text1"/>
                <w:kern w:val="0"/>
                <w:sz w:val="20"/>
                <w:szCs w:val="20"/>
                <w14:textFill>
                  <w14:solidFill>
                    <w14:schemeClr w14:val="tx1"/>
                  </w14:solidFill>
                </w14:textFill>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 w:val="24"/>
                <w14:textFill>
                  <w14:solidFill>
                    <w14:schemeClr w14:val="tx1"/>
                  </w14:solidFill>
                </w14:textFill>
              </w:rPr>
            </w:pPr>
          </w:p>
        </w:tc>
        <w:tc>
          <w:tcPr>
            <w:tcW w:w="604" w:type="dxa"/>
            <w:vMerge w:val="continue"/>
            <w:tcBorders>
              <w:top w:val="nil"/>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 w:val="24"/>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 w:val="24"/>
                <w14:textFill>
                  <w14:solidFill>
                    <w14:schemeClr w14:val="tx1"/>
                  </w14:solidFill>
                </w14:textFill>
              </w:rPr>
            </w:pPr>
          </w:p>
        </w:tc>
        <w:tc>
          <w:tcPr>
            <w:tcW w:w="604"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 w:val="24"/>
                <w14:textFill>
                  <w14:solidFill>
                    <w14:schemeClr w14:val="tx1"/>
                  </w14:solidFill>
                </w14:textFill>
              </w:rPr>
            </w:pPr>
          </w:p>
        </w:tc>
        <w:tc>
          <w:tcPr>
            <w:tcW w:w="658" w:type="dxa"/>
            <w:vMerge w:val="continue"/>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rPr>
                <w:rFonts w:hint="default" w:ascii="Times New Roman" w:hAnsi="Times New Roman" w:eastAsia="黑体" w:cs="Times New Roman"/>
                <w:color w:val="000000" w:themeColor="text1"/>
                <w:sz w:val="24"/>
                <w14:textFill>
                  <w14:solidFill>
                    <w14:schemeClr w14:val="tx1"/>
                  </w14:solidFill>
                </w14:textFill>
              </w:rPr>
            </w:pPr>
          </w:p>
        </w:tc>
        <w:tc>
          <w:tcPr>
            <w:tcW w:w="5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ind w:left="-105" w:leftChars="-50" w:right="-126" w:rightChars="-60"/>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结果维持</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ind w:left="-86" w:leftChars="-41" w:right="-88" w:rightChars="-42"/>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结果纠正</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126" w:leftChars="-60" w:right="-136" w:rightChars="-65"/>
              <w:jc w:val="center"/>
              <w:rPr>
                <w:rFonts w:hint="default" w:ascii="Times New Roman" w:hAnsi="Times New Roman" w:eastAsia="黑体" w:cs="Times New Roman"/>
                <w:color w:val="000000" w:themeColor="text1"/>
                <w:kern w:val="0"/>
                <w:sz w:val="20"/>
                <w:szCs w:val="20"/>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其他</w:t>
            </w:r>
          </w:p>
          <w:p>
            <w:pPr>
              <w:widowControl/>
              <w:ind w:left="-126" w:leftChars="-60" w:right="-136" w:rightChars="-65"/>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164" w:leftChars="-78" w:right="-153" w:rightChars="-73"/>
              <w:jc w:val="center"/>
              <w:rPr>
                <w:rFonts w:hint="default" w:ascii="Times New Roman" w:hAnsi="Times New Roman" w:eastAsia="黑体" w:cs="Times New Roman"/>
                <w:color w:val="000000" w:themeColor="text1"/>
                <w:kern w:val="0"/>
                <w:sz w:val="20"/>
                <w:szCs w:val="20"/>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尚未</w:t>
            </w:r>
          </w:p>
          <w:p>
            <w:pPr>
              <w:widowControl/>
              <w:ind w:left="-164" w:leftChars="-78" w:right="-153" w:rightChars="-73"/>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审结</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总计</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99" w:leftChars="-47" w:right="-78" w:rightChars="-37"/>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结果维持</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136" w:leftChars="-65" w:right="-124" w:rightChars="-59"/>
              <w:jc w:val="center"/>
              <w:rPr>
                <w:rFonts w:hint="default" w:ascii="Times New Roman" w:hAnsi="Times New Roman" w:eastAsia="黑体" w:cs="Times New Roman"/>
                <w:color w:val="000000" w:themeColor="text1"/>
                <w:kern w:val="0"/>
                <w:sz w:val="20"/>
                <w:szCs w:val="20"/>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w:t>
            </w:r>
          </w:p>
          <w:p>
            <w:pPr>
              <w:widowControl/>
              <w:ind w:left="-136" w:leftChars="-65" w:right="-124" w:rightChars="-59"/>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纠正</w:t>
            </w:r>
          </w:p>
        </w:tc>
        <w:tc>
          <w:tcPr>
            <w:tcW w:w="605"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173" w:leftChars="-83" w:right="-134" w:rightChars="-64" w:hanging="1"/>
              <w:jc w:val="center"/>
              <w:rPr>
                <w:rFonts w:hint="default" w:ascii="Times New Roman" w:hAnsi="Times New Roman" w:eastAsia="黑体" w:cs="Times New Roman"/>
                <w:color w:val="000000" w:themeColor="text1"/>
                <w:kern w:val="0"/>
                <w:sz w:val="20"/>
                <w:szCs w:val="20"/>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其他</w:t>
            </w:r>
          </w:p>
          <w:p>
            <w:pPr>
              <w:widowControl/>
              <w:ind w:left="-173" w:leftChars="-83" w:right="-134" w:rightChars="-64" w:hanging="1"/>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结果</w:t>
            </w:r>
          </w:p>
        </w:tc>
        <w:tc>
          <w:tcPr>
            <w:tcW w:w="6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ind w:left="-67" w:leftChars="-33" w:right="-105" w:rightChars="-50" w:hanging="2" w:hangingChars="1"/>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尚未审结</w:t>
            </w:r>
          </w:p>
        </w:tc>
        <w:tc>
          <w:tcPr>
            <w:tcW w:w="606" w:type="dxa"/>
            <w:tcBorders>
              <w:top w:val="single" w:color="auto" w:sz="8" w:space="0"/>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eastAsia="黑体" w:cs="Times New Roman"/>
                <w:color w:val="000000" w:themeColor="text1"/>
                <w14:textFill>
                  <w14:solidFill>
                    <w14:schemeClr w14:val="tx1"/>
                  </w14:solidFill>
                </w14:textFill>
              </w:rPr>
            </w:pPr>
            <w:r>
              <w:rPr>
                <w:rFonts w:hint="default" w:ascii="Times New Roman" w:hAnsi="Times New Roman" w:eastAsia="黑体" w:cs="Times New Roman"/>
                <w:color w:val="000000" w:themeColor="text1"/>
                <w:kern w:val="0"/>
                <w:sz w:val="20"/>
                <w:szCs w:val="20"/>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4"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58"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550"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5"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c>
          <w:tcPr>
            <w:tcW w:w="606" w:type="dxa"/>
            <w:tcBorders>
              <w:top w:val="nil"/>
              <w:left w:val="nil"/>
              <w:bottom w:val="single" w:color="auto" w:sz="8" w:space="0"/>
              <w:right w:val="single" w:color="auto" w:sz="8" w:space="0"/>
            </w:tcBorders>
            <w:shd w:val="clear" w:color="auto" w:fill="auto"/>
            <w:noWrap w:val="0"/>
            <w:tcMar>
              <w:left w:w="108" w:type="dxa"/>
              <w:right w:w="108" w:type="dxa"/>
            </w:tcMar>
            <w:vAlign w:val="center"/>
          </w:tcPr>
          <w:p>
            <w:pPr>
              <w:widowControl/>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szCs w:val="21"/>
                <w:lang w:val="en-US" w:eastAsia="zh-CN"/>
                <w14:textFill>
                  <w14:solidFill>
                    <w14:schemeClr w14:val="tx1"/>
                  </w14:solidFill>
                </w14:textFill>
              </w:rPr>
              <w:t>0</w:t>
            </w:r>
          </w:p>
        </w:tc>
      </w:tr>
    </w:tbl>
    <w:p>
      <w:pPr>
        <w:pStyle w:val="3"/>
        <w:spacing w:before="0" w:beforeAutospacing="0" w:after="0" w:afterAutospacing="0" w:line="600" w:lineRule="exact"/>
        <w:ind w:firstLine="640" w:firstLineChars="200"/>
        <w:jc w:val="both"/>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五、存在的主要问题及改进情况</w:t>
      </w:r>
    </w:p>
    <w:p>
      <w:pPr>
        <w:pStyle w:val="3"/>
        <w:keepNext w:val="0"/>
        <w:keepLines w:val="0"/>
        <w:widowControl/>
        <w:suppressLineNumbers w:val="0"/>
        <w:shd w:val="clear" w:fill="FFFFFF"/>
        <w:spacing w:before="0" w:beforeAutospacing="0" w:after="0" w:afterAutospacing="0" w:line="600" w:lineRule="atLeast"/>
        <w:ind w:left="0" w:right="0" w:firstLine="645"/>
        <w:jc w:val="both"/>
        <w:rPr>
          <w:rFonts w:hint="default" w:ascii="Times New Roman" w:hAnsi="Times New Roman" w:eastAsia="仿宋_GB2312" w:cs="Times New Roman"/>
          <w:i w:val="0"/>
          <w:iCs w:val="0"/>
          <w:caps w:val="0"/>
          <w:color w:val="000000"/>
          <w:spacing w:val="0"/>
          <w:sz w:val="31"/>
          <w:szCs w:val="31"/>
          <w:shd w:val="clear" w:fill="FFFFFF"/>
        </w:rPr>
      </w:pPr>
      <w:r>
        <w:rPr>
          <w:rFonts w:hint="default" w:ascii="Times New Roman" w:hAnsi="Times New Roman" w:eastAsia="仿宋_GB2312" w:cs="Times New Roman"/>
          <w:i w:val="0"/>
          <w:iCs w:val="0"/>
          <w:caps w:val="0"/>
          <w:color w:val="000000"/>
          <w:spacing w:val="0"/>
          <w:sz w:val="31"/>
          <w:szCs w:val="31"/>
          <w:shd w:val="clear" w:fill="FFFFFF"/>
          <w:lang w:val="en-US" w:eastAsia="zh-CN"/>
        </w:rPr>
        <w:t>虽然</w:t>
      </w:r>
      <w:r>
        <w:rPr>
          <w:rFonts w:hint="default" w:ascii="Times New Roman" w:hAnsi="Times New Roman" w:eastAsia="仿宋_GB2312" w:cs="Times New Roman"/>
          <w:i w:val="0"/>
          <w:iCs w:val="0"/>
          <w:caps w:val="0"/>
          <w:color w:val="000000"/>
          <w:spacing w:val="0"/>
          <w:sz w:val="31"/>
          <w:szCs w:val="31"/>
          <w:shd w:val="clear" w:fill="FFFFFF"/>
        </w:rPr>
        <w:t>政府政务公开工作取得了较好成效，但也存在一定的不足之处。</w:t>
      </w:r>
      <w:r>
        <w:rPr>
          <w:rFonts w:hint="default" w:ascii="Times New Roman" w:hAnsi="Times New Roman" w:eastAsia="仿宋_GB2312" w:cs="Times New Roman"/>
          <w:b/>
          <w:bCs/>
          <w:i w:val="0"/>
          <w:iCs w:val="0"/>
          <w:caps w:val="0"/>
          <w:color w:val="000000"/>
          <w:spacing w:val="0"/>
          <w:sz w:val="31"/>
          <w:szCs w:val="31"/>
          <w:shd w:val="clear" w:fill="FFFFFF"/>
        </w:rPr>
        <w:t>一是</w:t>
      </w:r>
      <w:r>
        <w:rPr>
          <w:rFonts w:hint="default" w:ascii="Times New Roman" w:hAnsi="Times New Roman" w:eastAsia="仿宋_GB2312" w:cs="Times New Roman"/>
          <w:i w:val="0"/>
          <w:iCs w:val="0"/>
          <w:caps w:val="0"/>
          <w:color w:val="000000"/>
          <w:spacing w:val="0"/>
          <w:sz w:val="31"/>
          <w:szCs w:val="31"/>
          <w:shd w:val="clear" w:fill="FFFFFF"/>
        </w:rPr>
        <w:t>政府信息公开的</w:t>
      </w:r>
      <w:r>
        <w:rPr>
          <w:rFonts w:hint="default" w:ascii="Times New Roman" w:hAnsi="Times New Roman" w:eastAsia="仿宋_GB2312" w:cs="Times New Roman"/>
          <w:i w:val="0"/>
          <w:iCs w:val="0"/>
          <w:caps w:val="0"/>
          <w:color w:val="000000"/>
          <w:spacing w:val="0"/>
          <w:sz w:val="31"/>
          <w:szCs w:val="31"/>
          <w:shd w:val="clear" w:fill="FFFFFF"/>
          <w:lang w:val="en-US" w:eastAsia="zh-CN"/>
        </w:rPr>
        <w:t>领域不广</w:t>
      </w:r>
      <w:r>
        <w:rPr>
          <w:rFonts w:hint="default" w:ascii="Times New Roman" w:hAnsi="Times New Roman" w:eastAsia="仿宋_GB2312" w:cs="Times New Roman"/>
          <w:i w:val="0"/>
          <w:iCs w:val="0"/>
          <w:caps w:val="0"/>
          <w:color w:val="000000"/>
          <w:spacing w:val="0"/>
          <w:sz w:val="31"/>
          <w:szCs w:val="31"/>
          <w:shd w:val="clear" w:fill="FFFFFF"/>
        </w:rPr>
        <w:t>，</w:t>
      </w:r>
      <w:r>
        <w:rPr>
          <w:rFonts w:hint="default" w:ascii="Times New Roman" w:hAnsi="Times New Roman" w:eastAsia="仿宋_GB2312" w:cs="Times New Roman"/>
          <w:i w:val="0"/>
          <w:iCs w:val="0"/>
          <w:caps w:val="0"/>
          <w:color w:val="000000"/>
          <w:spacing w:val="0"/>
          <w:sz w:val="31"/>
          <w:szCs w:val="31"/>
          <w:shd w:val="clear" w:fill="FFFFFF"/>
          <w:lang w:val="en-US" w:eastAsia="zh-CN"/>
        </w:rPr>
        <w:t>还需加大对政策解读</w:t>
      </w:r>
      <w:r>
        <w:rPr>
          <w:rFonts w:hint="default" w:ascii="Times New Roman" w:hAnsi="Times New Roman" w:eastAsia="仿宋_GB2312" w:cs="Times New Roman"/>
          <w:i w:val="0"/>
          <w:iCs w:val="0"/>
          <w:caps w:val="0"/>
          <w:color w:val="000000"/>
          <w:spacing w:val="0"/>
          <w:sz w:val="31"/>
          <w:szCs w:val="31"/>
          <w:shd w:val="clear" w:fill="FFFFFF"/>
        </w:rPr>
        <w:t>；</w:t>
      </w:r>
      <w:r>
        <w:rPr>
          <w:rFonts w:hint="default" w:ascii="Times New Roman" w:hAnsi="Times New Roman" w:eastAsia="仿宋_GB2312" w:cs="Times New Roman"/>
          <w:b/>
          <w:bCs/>
          <w:i w:val="0"/>
          <w:iCs w:val="0"/>
          <w:caps w:val="0"/>
          <w:color w:val="000000"/>
          <w:spacing w:val="0"/>
          <w:sz w:val="31"/>
          <w:szCs w:val="31"/>
          <w:shd w:val="clear" w:fill="FFFFFF"/>
        </w:rPr>
        <w:t>二是</w:t>
      </w:r>
      <w:r>
        <w:rPr>
          <w:rFonts w:hint="default" w:ascii="Times New Roman" w:hAnsi="Times New Roman" w:eastAsia="仿宋_GB2312" w:cs="Times New Roman"/>
          <w:i w:val="0"/>
          <w:iCs w:val="0"/>
          <w:caps w:val="0"/>
          <w:color w:val="000000"/>
          <w:spacing w:val="0"/>
          <w:sz w:val="31"/>
          <w:szCs w:val="31"/>
          <w:shd w:val="clear" w:fill="FFFFFF"/>
          <w:lang w:val="en-US" w:eastAsia="zh-CN"/>
        </w:rPr>
        <w:t>提升政府信息公开干部的专业素质</w:t>
      </w:r>
      <w:r>
        <w:rPr>
          <w:rFonts w:hint="default" w:ascii="Times New Roman" w:hAnsi="Times New Roman" w:eastAsia="仿宋_GB2312" w:cs="Times New Roman"/>
          <w:i w:val="0"/>
          <w:iCs w:val="0"/>
          <w:caps w:val="0"/>
          <w:color w:val="000000"/>
          <w:spacing w:val="0"/>
          <w:sz w:val="31"/>
          <w:szCs w:val="31"/>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5"/>
        <w:jc w:val="both"/>
        <w:textAlignment w:val="auto"/>
        <w:rPr>
          <w:rFonts w:hint="default" w:ascii="Times New Roman" w:hAnsi="Times New Roman" w:eastAsia="仿宋_GB2312" w:cs="Times New Roman"/>
          <w:i w:val="0"/>
          <w:iCs w:val="0"/>
          <w:caps w:val="0"/>
          <w:color w:val="000000"/>
          <w:spacing w:val="0"/>
          <w:sz w:val="31"/>
          <w:szCs w:val="31"/>
          <w:shd w:val="clear" w:fill="FFFFFF"/>
          <w:lang w:val="en-US" w:eastAsia="zh-CN"/>
        </w:rPr>
      </w:pPr>
      <w:r>
        <w:rPr>
          <w:rFonts w:hint="default" w:ascii="Times New Roman" w:hAnsi="Times New Roman" w:eastAsia="仿宋_GB2312" w:cs="Times New Roman"/>
          <w:i w:val="0"/>
          <w:iCs w:val="0"/>
          <w:caps w:val="0"/>
          <w:color w:val="000000"/>
          <w:spacing w:val="0"/>
          <w:sz w:val="31"/>
          <w:szCs w:val="31"/>
          <w:shd w:val="clear" w:fill="FFFFFF"/>
          <w:lang w:val="en-US" w:eastAsia="zh-CN"/>
        </w:rPr>
        <w:t>下一步，我们将不断强化制度保障，努力提升政府信息公开水平。</w:t>
      </w:r>
      <w:r>
        <w:rPr>
          <w:rFonts w:hint="default" w:ascii="Times New Roman" w:hAnsi="Times New Roman" w:eastAsia="仿宋_GB2312" w:cs="Times New Roman"/>
          <w:b/>
          <w:bCs/>
          <w:i w:val="0"/>
          <w:iCs w:val="0"/>
          <w:caps w:val="0"/>
          <w:color w:val="000000"/>
          <w:spacing w:val="0"/>
          <w:sz w:val="31"/>
          <w:szCs w:val="31"/>
          <w:shd w:val="clear" w:fill="FFFFFF"/>
        </w:rPr>
        <w:t>一是</w:t>
      </w:r>
      <w:r>
        <w:rPr>
          <w:rFonts w:hint="default" w:ascii="Times New Roman" w:hAnsi="Times New Roman" w:eastAsia="仿宋_GB2312" w:cs="Times New Roman"/>
          <w:b/>
          <w:bCs/>
          <w:i w:val="0"/>
          <w:iCs w:val="0"/>
          <w:caps w:val="0"/>
          <w:color w:val="000000"/>
          <w:spacing w:val="0"/>
          <w:sz w:val="31"/>
          <w:szCs w:val="31"/>
          <w:shd w:val="clear" w:fill="FFFFFF"/>
          <w:lang w:val="en-US" w:eastAsia="zh-CN"/>
        </w:rPr>
        <w:t>拓展公开领域。</w:t>
      </w:r>
      <w:r>
        <w:rPr>
          <w:rFonts w:hint="default" w:ascii="Times New Roman" w:hAnsi="Times New Roman" w:eastAsia="仿宋_GB2312" w:cs="Times New Roman"/>
          <w:i w:val="0"/>
          <w:iCs w:val="0"/>
          <w:caps w:val="0"/>
          <w:color w:val="000000"/>
          <w:spacing w:val="0"/>
          <w:sz w:val="31"/>
          <w:szCs w:val="31"/>
          <w:shd w:val="clear" w:fill="FFFFFF"/>
          <w:lang w:val="en-US" w:eastAsia="zh-CN"/>
        </w:rPr>
        <w:t>强化</w:t>
      </w:r>
      <w:r>
        <w:rPr>
          <w:rFonts w:hint="default" w:ascii="Times New Roman" w:hAnsi="Times New Roman" w:eastAsia="仿宋_GB2312" w:cs="Times New Roman"/>
          <w:i w:val="0"/>
          <w:iCs w:val="0"/>
          <w:caps w:val="0"/>
          <w:color w:val="000000"/>
          <w:spacing w:val="0"/>
          <w:sz w:val="31"/>
          <w:szCs w:val="31"/>
          <w:shd w:val="clear" w:fill="FFFFFF"/>
        </w:rPr>
        <w:t>主动公开</w:t>
      </w:r>
      <w:r>
        <w:rPr>
          <w:rFonts w:hint="default" w:ascii="Times New Roman" w:hAnsi="Times New Roman" w:eastAsia="仿宋_GB2312" w:cs="Times New Roman"/>
          <w:i w:val="0"/>
          <w:iCs w:val="0"/>
          <w:caps w:val="0"/>
          <w:color w:val="000000"/>
          <w:spacing w:val="0"/>
          <w:sz w:val="31"/>
          <w:szCs w:val="31"/>
          <w:shd w:val="clear" w:fill="FFFFFF"/>
          <w:lang w:eastAsia="zh-CN"/>
        </w:rPr>
        <w:t>，</w:t>
      </w:r>
      <w:r>
        <w:rPr>
          <w:rFonts w:hint="default" w:ascii="Times New Roman" w:hAnsi="Times New Roman" w:eastAsia="仿宋_GB2312" w:cs="Times New Roman"/>
          <w:i w:val="0"/>
          <w:iCs w:val="0"/>
          <w:caps w:val="0"/>
          <w:color w:val="000000"/>
          <w:spacing w:val="0"/>
          <w:sz w:val="31"/>
          <w:szCs w:val="31"/>
          <w:shd w:val="clear" w:fill="FFFFFF"/>
        </w:rPr>
        <w:t>扩大信息主动公开范围，</w:t>
      </w:r>
      <w:r>
        <w:rPr>
          <w:rFonts w:hint="default" w:ascii="Times New Roman" w:hAnsi="Times New Roman" w:eastAsia="仿宋_GB2312" w:cs="Times New Roman"/>
          <w:i w:val="0"/>
          <w:iCs w:val="0"/>
          <w:caps w:val="0"/>
          <w:color w:val="000000"/>
          <w:spacing w:val="0"/>
          <w:sz w:val="31"/>
          <w:szCs w:val="31"/>
          <w:shd w:val="clear" w:fill="FFFFFF"/>
          <w:lang w:val="en-US" w:eastAsia="zh-CN"/>
        </w:rPr>
        <w:t>增加政策法</w:t>
      </w:r>
      <w:bookmarkStart w:id="10" w:name="_GoBack"/>
      <w:r>
        <w:rPr>
          <w:rFonts w:hint="default" w:ascii="Times New Roman" w:hAnsi="Times New Roman" w:eastAsia="仿宋_GB2312" w:cs="Times New Roman"/>
          <w:i w:val="0"/>
          <w:iCs w:val="0"/>
          <w:caps w:val="0"/>
          <w:color w:val="000000"/>
          <w:spacing w:val="0"/>
          <w:sz w:val="31"/>
          <w:szCs w:val="31"/>
          <w:shd w:val="clear" w:fill="FFFFFF"/>
          <w:lang w:val="en-US" w:eastAsia="zh-CN"/>
        </w:rPr>
        <w:t>规解读，</w:t>
      </w:r>
      <w:r>
        <w:rPr>
          <w:rFonts w:hint="default" w:ascii="Times New Roman" w:hAnsi="Times New Roman" w:eastAsia="仿宋_GB2312" w:cs="Times New Roman"/>
          <w:i w:val="0"/>
          <w:iCs w:val="0"/>
          <w:caps w:val="0"/>
          <w:color w:val="000000"/>
          <w:spacing w:val="0"/>
          <w:sz w:val="31"/>
          <w:szCs w:val="31"/>
          <w:shd w:val="clear" w:fill="FFFFFF"/>
        </w:rPr>
        <w:t>提高公开质量。</w:t>
      </w:r>
      <w:r>
        <w:rPr>
          <w:rFonts w:hint="default" w:ascii="Times New Roman" w:hAnsi="Times New Roman" w:eastAsia="仿宋_GB2312" w:cs="Times New Roman"/>
          <w:b/>
          <w:bCs/>
          <w:i w:val="0"/>
          <w:iCs w:val="0"/>
          <w:caps w:val="0"/>
          <w:color w:val="000000"/>
          <w:spacing w:val="0"/>
          <w:sz w:val="31"/>
          <w:szCs w:val="31"/>
          <w:shd w:val="clear" w:fill="FFFFFF"/>
        </w:rPr>
        <w:t>二是加大培训力度</w:t>
      </w:r>
      <w:r>
        <w:rPr>
          <w:rFonts w:hint="default" w:ascii="Times New Roman" w:hAnsi="Times New Roman" w:eastAsia="仿宋_GB2312" w:cs="Times New Roman"/>
          <w:b/>
          <w:bCs/>
          <w:i w:val="0"/>
          <w:iCs w:val="0"/>
          <w:caps w:val="0"/>
          <w:color w:val="000000"/>
          <w:spacing w:val="0"/>
          <w:sz w:val="31"/>
          <w:szCs w:val="31"/>
          <w:shd w:val="clear" w:fill="FFFFFF"/>
          <w:lang w:eastAsia="zh-CN"/>
        </w:rPr>
        <w:t>。</w:t>
      </w:r>
      <w:r>
        <w:rPr>
          <w:rFonts w:hint="default" w:ascii="Times New Roman" w:hAnsi="Times New Roman" w:eastAsia="仿宋_GB2312" w:cs="Times New Roman"/>
          <w:i w:val="0"/>
          <w:iCs w:val="0"/>
          <w:caps w:val="0"/>
          <w:color w:val="000000"/>
          <w:spacing w:val="0"/>
          <w:sz w:val="31"/>
          <w:szCs w:val="31"/>
          <w:shd w:val="clear" w:fill="FFFFFF"/>
        </w:rPr>
        <w:t>进一步</w:t>
      </w:r>
      <w:r>
        <w:rPr>
          <w:rFonts w:hint="default" w:ascii="Times New Roman" w:hAnsi="Times New Roman" w:eastAsia="仿宋_GB2312" w:cs="Times New Roman"/>
          <w:i w:val="0"/>
          <w:iCs w:val="0"/>
          <w:caps w:val="0"/>
          <w:color w:val="000000"/>
          <w:spacing w:val="0"/>
          <w:sz w:val="31"/>
          <w:szCs w:val="31"/>
          <w:shd w:val="clear" w:fill="FFFFFF"/>
          <w:lang w:val="en-US" w:eastAsia="zh-CN"/>
        </w:rPr>
        <w:t>强化</w:t>
      </w:r>
      <w:r>
        <w:rPr>
          <w:rFonts w:hint="default" w:ascii="Times New Roman" w:hAnsi="Times New Roman" w:eastAsia="仿宋_GB2312" w:cs="Times New Roman"/>
          <w:i w:val="0"/>
          <w:iCs w:val="0"/>
          <w:caps w:val="0"/>
          <w:color w:val="000000"/>
          <w:spacing w:val="0"/>
          <w:sz w:val="31"/>
          <w:szCs w:val="31"/>
          <w:shd w:val="clear" w:fill="FFFFFF"/>
        </w:rPr>
        <w:t>相关人员</w:t>
      </w:r>
      <w:r>
        <w:rPr>
          <w:rFonts w:hint="default" w:ascii="Times New Roman" w:hAnsi="Times New Roman" w:eastAsia="仿宋_GB2312" w:cs="Times New Roman"/>
          <w:i w:val="0"/>
          <w:iCs w:val="0"/>
          <w:caps w:val="0"/>
          <w:color w:val="000000"/>
          <w:spacing w:val="0"/>
          <w:sz w:val="31"/>
          <w:szCs w:val="31"/>
          <w:shd w:val="clear" w:fill="FFFFFF"/>
          <w:lang w:val="en-US" w:eastAsia="zh-CN"/>
        </w:rPr>
        <w:t>的</w:t>
      </w:r>
      <w:r>
        <w:rPr>
          <w:rFonts w:hint="default" w:ascii="Times New Roman" w:hAnsi="Times New Roman" w:eastAsia="仿宋_GB2312" w:cs="Times New Roman"/>
          <w:i w:val="0"/>
          <w:iCs w:val="0"/>
          <w:caps w:val="0"/>
          <w:color w:val="000000"/>
          <w:spacing w:val="0"/>
          <w:sz w:val="31"/>
          <w:szCs w:val="31"/>
          <w:shd w:val="clear" w:fill="FFFFFF"/>
        </w:rPr>
        <w:t>思想认识，</w:t>
      </w:r>
      <w:r>
        <w:rPr>
          <w:rFonts w:hint="default" w:ascii="Times New Roman" w:hAnsi="Times New Roman" w:eastAsia="仿宋_GB2312" w:cs="Times New Roman"/>
          <w:i w:val="0"/>
          <w:iCs w:val="0"/>
          <w:caps w:val="0"/>
          <w:color w:val="000000"/>
          <w:spacing w:val="0"/>
          <w:sz w:val="31"/>
          <w:szCs w:val="31"/>
          <w:shd w:val="clear" w:fill="FFFFFF"/>
          <w:lang w:val="en-US" w:eastAsia="zh-CN"/>
        </w:rPr>
        <w:t>增加相关政策法规学习研究，加强专业人员配备，为政务公开工作提供人才支撑</w:t>
      </w:r>
    </w:p>
    <w:p>
      <w:pPr>
        <w:pStyle w:val="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六、其他需要报告的事项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本部分主要报告本行政机关认为需要报告的其他事项，以及其他有关文件专门要求通过政府信息公开工作年度报告予以报告的事项，包括但不限于：</w:t>
      </w:r>
    </w:p>
    <w:bookmarkEnd w:id="10"/>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信息处理费收取情况</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依据《政府信息公开信息处理费管理办法》</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2023年我单位未</w:t>
      </w:r>
      <w:r>
        <w:rPr>
          <w:rFonts w:hint="default" w:ascii="Times New Roman" w:hAnsi="Times New Roman" w:eastAsia="仿宋_GB2312" w:cs="Times New Roman"/>
          <w:color w:val="000000" w:themeColor="text1"/>
          <w:sz w:val="32"/>
          <w:szCs w:val="32"/>
          <w14:textFill>
            <w14:solidFill>
              <w14:schemeClr w14:val="tx1"/>
            </w14:solidFill>
          </w14:textFill>
        </w:rPr>
        <w:t>收取信息处理费的情况需在此专门报告;</w:t>
      </w:r>
    </w:p>
    <w:p>
      <w:pPr>
        <w:numPr>
          <w:ilvl w:val="0"/>
          <w:numId w:val="1"/>
        </w:num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落实上级年度政务公开工作要点情况</w:t>
      </w:r>
    </w:p>
    <w:p>
      <w:pPr>
        <w:numPr>
          <w:ilvl w:val="0"/>
          <w:numId w:val="0"/>
        </w:numPr>
        <w:ind w:firstLine="62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严格按照</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上级</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政务公开</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工作要点</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要求</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认真梳理公开事项，压实各业务科室责任，分领域</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分</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类别</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进行政务信息公开，确保政务信息公开的</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时效性、</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完整性</w:t>
      </w:r>
      <w:r>
        <w:rPr>
          <w:rFonts w:hint="default" w:ascii="Times New Roman" w:hAnsi="Times New Roman" w:eastAsia="仿宋_GB2312" w:cs="Times New Roman"/>
          <w:i w:val="0"/>
          <w:iCs w:val="0"/>
          <w:caps w:val="0"/>
          <w:color w:val="000000" w:themeColor="text1"/>
          <w:spacing w:val="0"/>
          <w:sz w:val="31"/>
          <w:szCs w:val="31"/>
          <w:lang w:val="en-US" w:eastAsia="zh-CN"/>
          <w14:textFill>
            <w14:solidFill>
              <w14:schemeClr w14:val="tx1"/>
            </w14:solidFill>
          </w14:textFill>
        </w:rPr>
        <w:t>和</w:t>
      </w:r>
      <w:r>
        <w:rPr>
          <w:rFonts w:hint="default" w:ascii="Times New Roman" w:hAnsi="Times New Roman" w:eastAsia="仿宋_GB2312" w:cs="Times New Roman"/>
          <w:i w:val="0"/>
          <w:iCs w:val="0"/>
          <w:caps w:val="0"/>
          <w:color w:val="000000" w:themeColor="text1"/>
          <w:spacing w:val="0"/>
          <w:sz w:val="31"/>
          <w:szCs w:val="31"/>
          <w14:textFill>
            <w14:solidFill>
              <w14:schemeClr w14:val="tx1"/>
            </w14:solidFill>
          </w14:textFill>
        </w:rPr>
        <w:t>准确性。</w:t>
      </w:r>
    </w:p>
    <w:p>
      <w:pPr>
        <w:numPr>
          <w:ilvl w:val="0"/>
          <w:numId w:val="1"/>
        </w:numPr>
        <w:ind w:left="0" w:leftChars="0"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机关人大代表建议和政协提案办理结果公开情况</w:t>
      </w:r>
    </w:p>
    <w:p>
      <w:pPr>
        <w:ind w:firstLine="640" w:firstLineChars="200"/>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共</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协办</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人大代表建议</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件，</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为政务服务类，已</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全部办理完毕，代表、委员满意率达</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100%。</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4.年度政务公开工作创新情况</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我单位创新推出“小美带您逛大厅”特色宣传活动，把惠民惠企的好政策、好做法以视频直播的形式展现给企业群众，不断提升企业群众对政务服务的获得感和满意度。</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0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sectPr>
      <w:footerReference r:id="rId3" w:type="default"/>
      <w:pgSz w:w="11906" w:h="16838"/>
      <w:pgMar w:top="1474" w:right="1418" w:bottom="141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65AED0"/>
    <w:multiLevelType w:val="singleLevel"/>
    <w:tmpl w:val="B465AED0"/>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lM2U2NmEyMzdjZTM4M2ZmNGZjYzI3MGY4ZGRhMGMifQ=="/>
  </w:docVars>
  <w:rsids>
    <w:rsidRoot w:val="6ED667C6"/>
    <w:rsid w:val="1C5E2902"/>
    <w:rsid w:val="278E33FB"/>
    <w:rsid w:val="6ED66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 w:type="paragraph" w:styleId="3">
    <w:name w:val="Normal (Web)"/>
    <w:basedOn w:val="1"/>
    <w:autoRedefine/>
    <w:qFormat/>
    <w:uiPriority w:val="0"/>
    <w:pPr>
      <w:spacing w:before="100" w:beforeAutospacing="1" w:after="100" w:afterAutospacing="1"/>
      <w:jc w:val="left"/>
    </w:pPr>
    <w:rPr>
      <w:kern w:val="0"/>
      <w:sz w:val="24"/>
      <w:szCs w:val="24"/>
    </w:rPr>
  </w:style>
  <w:style w:type="character" w:styleId="6">
    <w:name w:val="Strong"/>
    <w:basedOn w:val="5"/>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2024-01-31T01:48:00Z</dcterms:created>
  <dc:creator>奇</dc:creator>
  <cp:lastModifiedBy>噶酱不是萌妹子</cp:lastModifiedBy>
  <dcterms:modified xsi:type="dcterms:W3CDTF">2024-01-31T03:16:31Z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3169EEB83A234E2EAC9020A786102826_11</vt:lpwstr>
  </property>
</Properties>
</file>