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肥政字〔2019〕23号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color w:val="333333"/>
          <w:sz w:val="22"/>
          <w:szCs w:val="22"/>
        </w:rPr>
      </w:pPr>
      <w:bookmarkStart w:id="0" w:name="_GoBack"/>
      <w:r>
        <w:rPr>
          <w:color w:val="333333"/>
          <w:sz w:val="22"/>
          <w:szCs w:val="22"/>
          <w:bdr w:val="none" w:color="auto" w:sz="0" w:space="0"/>
        </w:rPr>
        <w:t>肥城市人民政府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关于公布2019年第二批调整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行政权力事项的通知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各镇人民政府、街道办事处，高新区、经开区，市政府各部门、各直属机构，市属以上驻肥有关单位：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为进一步深化“一窗受理·一次办好”改革,持续推进简政放权,促进经济社会持续健康发展,根据《山东省人民政府关于贯彻落实国发〔2019〕6号文件调整一批行政权力事项的通知》(鲁政发〔2019〕8号)和《泰安市人民政府关于公布2019年第二批调整市级行政权力事项的通知》(泰政字〔2019〕51号)有关要求,结合我市实际，市政府决定调整市级行政权力事项5项,其中，承接省政府和泰安市政府下放（委托）管理层级的行政权力事项1项 ,取消4项。现将调整情况予以公布。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各有关部门单位要认真做好衔接落实工作，及时调整行政许可事项目录、行政权力清单；要进一步落实监管责任，规范行政权力事项，优化办理流程，切实提高服务质量。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附件：1.肥城市承接省和泰安市政府下放（委托）管理层级的行政权力事项目录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2.肥城市取消的行政权力事项目录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肥城市人民政府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2019年7月29日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肥城市人民政府办公室2019年7月29日印发</w:t>
      </w:r>
    </w:p>
    <w:tbl>
      <w:tblPr>
        <w:tblW w:w="1057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195"/>
        <w:gridCol w:w="2160"/>
        <w:gridCol w:w="1440"/>
        <w:gridCol w:w="1665"/>
        <w:gridCol w:w="1185"/>
        <w:gridCol w:w="2325"/>
      </w:tblGrid>
      <w:tr>
        <w:tblPrEx>
          <w:shd w:val="clear"/>
        </w:tblPrEx>
        <w:trPr>
          <w:trHeight w:val="765" w:hRule="atLeast"/>
          <w:jc w:val="center"/>
        </w:trPr>
        <w:tc>
          <w:tcPr>
            <w:tcW w:w="18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6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10575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肥城市承接省和泰安市政府下放（委托）</w:t>
            </w:r>
            <w: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    管理层级的行政权力事项目录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事项类别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事项名称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子项名称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原实施机关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承接机关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毗邻县行政区域间道路旅客运输经营许可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省交通运输厅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市交通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运输局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属“道路客运经营（含客运班线经营）许可”部分内容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tbl>
      <w:tblPr>
        <w:tblW w:w="1123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121"/>
        <w:gridCol w:w="3574"/>
        <w:gridCol w:w="643"/>
        <w:gridCol w:w="1904"/>
        <w:gridCol w:w="2048"/>
        <w:gridCol w:w="703"/>
        <w:gridCol w:w="59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5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3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0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123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肥城市取消的行政权力事项目录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事项类别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事项名称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子项名称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事项编码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实施机关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处理决定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道路货物运输站（场）经营许可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3709830102410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市交通运输局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公司（企业）名称预先核准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3709830104301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市市场监督管理局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个体工商户名称预先核准登记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3709830104309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市市场监督管理局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养老机构设立许可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3709830101403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市民政局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20E75"/>
    <w:rsid w:val="5142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2020-12-24T02:50:00Z</dcterms:created>
  <dc:creator>emmmm</dc:creator>
  <cp:lastModifiedBy>emmmm</cp:lastModifiedBy>
  <dcterms:modified xsi:type="dcterms:W3CDTF">2020-12-24T02:52:43Z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