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852"/>
        <w:gridCol w:w="3828"/>
        <w:gridCol w:w="4546"/>
      </w:tblGrid>
      <w:tr w14:paraId="2C12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084" w:type="dxa"/>
            <w:gridSpan w:val="4"/>
            <w:noWrap/>
            <w:vAlign w:val="center"/>
          </w:tcPr>
          <w:p w14:paraId="4568D45B">
            <w:pPr>
              <w:tabs>
                <w:tab w:val="left" w:pos="0"/>
                <w:tab w:val="left" w:pos="5659"/>
              </w:tabs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肥城市教育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和体育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</w:rPr>
              <w:t>局</w:t>
            </w:r>
          </w:p>
        </w:tc>
      </w:tr>
      <w:tr w14:paraId="3D81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8" w:type="dxa"/>
            <w:noWrap/>
            <w:vAlign w:val="center"/>
          </w:tcPr>
          <w:p w14:paraId="3BA28377">
            <w:pPr>
              <w:widowControl w:val="0"/>
              <w:tabs>
                <w:tab w:val="left" w:pos="0"/>
              </w:tabs>
              <w:adjustRightInd w:val="0"/>
              <w:snapToGrid w:val="0"/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</w:rPr>
              <w:t>序号</w:t>
            </w:r>
          </w:p>
        </w:tc>
        <w:tc>
          <w:tcPr>
            <w:tcW w:w="4852" w:type="dxa"/>
            <w:noWrap/>
            <w:vAlign w:val="center"/>
          </w:tcPr>
          <w:p w14:paraId="13855A16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违法行为</w:t>
            </w:r>
          </w:p>
        </w:tc>
        <w:tc>
          <w:tcPr>
            <w:tcW w:w="3828" w:type="dxa"/>
            <w:noWrap/>
            <w:vAlign w:val="center"/>
          </w:tcPr>
          <w:p w14:paraId="4548C128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</w:rPr>
              <w:t>适用条件</w:t>
            </w:r>
          </w:p>
        </w:tc>
        <w:tc>
          <w:tcPr>
            <w:tcW w:w="4546" w:type="dxa"/>
            <w:noWrap/>
            <w:vAlign w:val="center"/>
          </w:tcPr>
          <w:p w14:paraId="7D241E77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法定依据</w:t>
            </w:r>
          </w:p>
        </w:tc>
      </w:tr>
      <w:tr w14:paraId="79D0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  <w:jc w:val="center"/>
        </w:trPr>
        <w:tc>
          <w:tcPr>
            <w:tcW w:w="858" w:type="dxa"/>
            <w:noWrap/>
            <w:vAlign w:val="center"/>
          </w:tcPr>
          <w:p w14:paraId="610C2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spacing w:line="3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52" w:type="dxa"/>
            <w:noWrap/>
            <w:vAlign w:val="center"/>
          </w:tcPr>
          <w:p w14:paraId="5D81E0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广告用语用字未按规定使用普通话和规范汉字</w:t>
            </w:r>
          </w:p>
        </w:tc>
        <w:tc>
          <w:tcPr>
            <w:tcW w:w="3828" w:type="dxa"/>
            <w:noWrap/>
            <w:vAlign w:val="center"/>
          </w:tcPr>
          <w:p w14:paraId="1B5EB491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自行改正或者在行政机关责令改正的期限内改正</w:t>
            </w:r>
          </w:p>
        </w:tc>
        <w:tc>
          <w:tcPr>
            <w:tcW w:w="4546" w:type="dxa"/>
            <w:noWrap/>
            <w:vAlign w:val="center"/>
          </w:tcPr>
          <w:p w14:paraId="42743089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《中华人民共和国国家通用语言文字法》（2000年10月通过）第十四条、第二十六条；</w:t>
            </w:r>
          </w:p>
          <w:p w14:paraId="1E53784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山东省实施&lt;中华人民共和国国家通用语言文字法&gt;办法》（2004年5月通过）第十八条：“违反本办法规定，城镇公共场所的设施、招牌和广告不使用规范汉字的，由县级以上人民政府语言文字工作部门或者有关行政部门责令改正；拒不改正的，予以警告，并督促其限期拆除或者销毁。”</w:t>
            </w:r>
          </w:p>
        </w:tc>
      </w:tr>
    </w:tbl>
    <w:p w14:paraId="6CE2B1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5DC79"/>
    <w:multiLevelType w:val="singleLevel"/>
    <w:tmpl w:val="EFB5DC79"/>
    <w:lvl w:ilvl="0" w:tentative="0">
      <w:start w:val="1"/>
      <w:numFmt w:val="decimal"/>
      <w:suff w:val="nothing"/>
      <w:lvlText w:val="%1"/>
      <w:lvlJc w:val="center"/>
      <w:pPr>
        <w:tabs>
          <w:tab w:val="left" w:pos="-36"/>
        </w:tabs>
        <w:ind w:left="284" w:firstLine="0"/>
      </w:pPr>
      <w:rPr>
        <w:rFonts w:hint="default" w:eastAsia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7D67"/>
    <w:rsid w:val="239E5142"/>
    <w:rsid w:val="73C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2024-12-19T06:10:37Z</dcterms:created>
  <dc:creator>Administrator</dc:creator>
  <cp:lastModifiedBy>小脑袋</cp:lastModifiedBy>
  <dcterms:modified xsi:type="dcterms:W3CDTF">2024-12-19T06:11:15Z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17F253159B774C0886FA2FAF1519B459_12</vt:lpwstr>
  </property>
</Properties>
</file>