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Calibri" w:eastAsia="黑体" w:cs="Times New Roman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行政执法主体审核登记表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单位（公章）：  填表人</w:t>
      </w:r>
      <w:r>
        <w:rPr>
          <w:rFonts w:hint="eastAsia" w:ascii="宋体" w:hAnsi="宋体" w:cs="宋体"/>
          <w:color w:val="000000"/>
          <w:sz w:val="24"/>
          <w:lang w:eastAsia="zh-CN"/>
        </w:rPr>
        <w:t>：赵红</w:t>
      </w:r>
      <w:r>
        <w:rPr>
          <w:rFonts w:hint="eastAsia" w:ascii="宋体" w:hAnsi="宋体" w:eastAsia="宋体" w:cs="宋体"/>
          <w:color w:val="000000"/>
          <w:sz w:val="24"/>
        </w:rPr>
        <w:t xml:space="preserve">  联系电话：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3220117</w:t>
      </w:r>
      <w:r>
        <w:rPr>
          <w:rFonts w:hint="eastAsia" w:ascii="宋体" w:hAnsi="宋体" w:eastAsia="宋体" w:cs="宋体"/>
          <w:color w:val="000000"/>
          <w:sz w:val="24"/>
        </w:rPr>
        <w:t xml:space="preserve"> 填表时间：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z w:val="24"/>
        </w:rPr>
        <w:t>日</w:t>
      </w:r>
    </w:p>
    <w:tbl>
      <w:tblPr>
        <w:tblStyle w:val="6"/>
        <w:tblW w:w="94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476"/>
        <w:gridCol w:w="654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>单位全称</w:t>
            </w:r>
          </w:p>
        </w:tc>
        <w:tc>
          <w:tcPr>
            <w:tcW w:w="8040" w:type="dxa"/>
            <w:gridSpan w:val="3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肥城市应急管理局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办公地址</w:t>
            </w:r>
          </w:p>
        </w:tc>
        <w:tc>
          <w:tcPr>
            <w:tcW w:w="5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肥城市龙山路甲50号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邮编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271600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机构性质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行政机关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事业单位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内设机构  </w:t>
            </w:r>
            <w:r>
              <w:rPr>
                <w:rFonts w:hint="eastAsia" w:ascii="仿宋_GB2312" w:hAnsi="宋体" w:eastAsia="仿宋_GB2312" w:cs="Times New Roman"/>
                <w:color w:val="000000"/>
                <w:szCs w:val="36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临时机构 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执法主体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类别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□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法定行政机关          □法律、法规授权的组织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□依法受委托执法的组织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执法职权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类型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 □行政许可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□行政处罚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□行政强制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□行政征收</w:t>
            </w:r>
            <w:bookmarkStart w:id="0" w:name="_GoBack"/>
            <w:bookmarkEnd w:id="0"/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 □行政征用  □行政检查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□其他行政执法行为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经费来源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 xml:space="preserve">    □</w:t>
            </w:r>
            <w:r>
              <w:rPr>
                <w:rFonts w:hint="default" w:ascii="Arial" w:hAnsi="Arial" w:eastAsia="仿宋_GB2312" w:cs="Arial"/>
                <w:color w:val="000000"/>
              </w:rPr>
              <w:t>√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财政全额拨款</w:t>
            </w: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□财政差额拨款   □自收自支   □其他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执法依据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行政许可：1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危险化学品经营许可证管理办法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第五条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第四款“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县级人民政府安全生产监督管理部门（以下简称县级发证机关）负责本行政区域内本条第三款规定以外企业的经营许可证审批、颁发；没有设立县级发证机关的，其经营许可证由市级发证机关审批、颁发。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”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right="0" w:rightChars="0"/>
              <w:jc w:val="left"/>
              <w:textAlignment w:val="auto"/>
              <w:rPr>
                <w:rStyle w:val="8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2、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烟花爆竹安全管理条例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》第十九条“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从事烟花爆竹零售的经营者，应当向所在地县级人民政府安全生产监督管理部门提出申请，并提供能够证明符合本条例第十八条规定条件的有关材料。受理申请的安全生产监督管理部门应当自受理申请之日起20日内对提交的有关材料和经营场所进行审查，对符合条件的，核发《烟花爆竹经营（零售）许可证》；对不符合条件的，应当说明理由。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”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行政处罚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《安全生产法》《山东省安全生产条例》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《安全生产违法行为行政处罚办法》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《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安全生产许可证条例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《危险化学品安全管理条例》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u w:val="none"/>
              </w:rPr>
              <w:t>非煤矿山企业安全生产许可证实施办法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烟花爆竹安全管理条例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《建设项目安全设施“三同时”监督管理办法》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</w:rPr>
              <w:t>山东省生产经营单位安全生产主体责任规定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</w:rPr>
              <w:t>山东省人民政府第311号令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shd w:val="clear" w:fill="FFFFFF"/>
              </w:rPr>
              <w:t>中华人民共和国防震减灾法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山东省防震减灾条例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等法律法规、规章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行政强制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《安全生产法》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《山东省安全生产条例》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《安全生产违法行为行政处罚办法》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</w:rPr>
              <w:t>山东省生产经营单位安全生产主体责任规定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</w:rPr>
              <w:t>山东省人民政府第311号令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shd w:val="clear" w:fill="FFFFFF"/>
              </w:rPr>
              <w:t>中华人民共和国防震减灾法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等法律法规、规章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default" w:ascii="仿宋_GB2312" w:hAnsi="Calibri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行政检查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《安全生产法》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《山东省安全生产条例》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</w:rPr>
              <w:t>山东省生产经营单位安全生产主体责任规定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</w:rPr>
              <w:t>山东省人民政府第311号令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shd w:val="clear" w:fill="FFFFFF"/>
              </w:rPr>
              <w:t>中华人民共和国防震减灾法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山东省防震减灾条例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》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等法律法规、规章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ind w:right="840"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负责人签字：                                  （盖章）      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年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月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1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市安全生产行政执法大队、市应急救援指挥中心、市地震监测服务中心以及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14个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镇街区安监办（应急办）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为依法委托的执法组织，委托依据为：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《中华人民共和国安全生产法》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第八条第三款“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、镇人民政府以及街道办事处、开发区管理机构等地方人民政府的派出机关应当按照职责，加强对本行政区域内生产经营单位安全生产状况的监督检查，协助上级人民政府有关部门依法履行安全生产监督管理职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《山东省安全生产条例》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第四条第二款“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乡镇人民政府、街道办事处、开发区管理机构应当设立或者明确安全生产监督管理机构，加强对本行政区域内安全生产工作的监督检查，并协助上级人民政府有关部门依法履行安全生产监督管理职责。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第四十八条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县级以上人民政府安全生产监督管理部门根据工作需要，可以依照《中华人民共和国行政处罚法》的规定，委托符合条件的安全生产执法监察机构实施行政处罚。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3、《安全生产违法行为行政处罚办法》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（国家安监总局令第 15 号）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监管监察部门根据需要，可以在其法定职权范围内委托符合《行政处罚法》第十九条规定条件的组织或者乡、镇人民政府以及街道办事处、开发区管理机构等地方人民政府的派出机构实施行政处罚。受委托的单位在委托范围内，以委托的安全监管监察部门名义实施行政处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firstLine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中华人民共和国防震减灾法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第八章法律责任第八十二至八十七条涉及的条款。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山东省防震减灾条例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第九章法律责任第六十三至六十七条涉及的条款。</w:t>
            </w:r>
          </w:p>
        </w:tc>
      </w:tr>
    </w:tbl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填表说明：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1.执法职权类型按照本单位实际行使的行政执法权类别填写，没有的在备注栏填无。有本表未列明的其他执法职权类型的，写明实际执法类型名称。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2.执法依据应当根据执法职权类型，分别填写相关依据。依据应当为规章以上的依据，列明至少一项依据名称和具体条款内容。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3.行政执法权已经依法委托其他组织实施的，应在备注中写明受委托组织名称、委托依据名称和具体条款内容。委托依据仅限于法律、法规或规章。</w:t>
      </w:r>
    </w:p>
    <w:p>
      <w:pPr>
        <w:spacing w:line="0" w:lineRule="atLeast"/>
        <w:ind w:firstLine="420" w:firstLineChars="200"/>
      </w:pPr>
      <w:r>
        <w:rPr>
          <w:rFonts w:hint="eastAsia" w:ascii="仿宋" w:hAnsi="仿宋" w:eastAsia="仿宋" w:cs="Times New Roman"/>
        </w:rPr>
        <w:t>4.行政执法机关有所属其他行政执法主体的，应当分别填报。</w:t>
      </w:r>
    </w:p>
    <w:sectPr>
      <w:pgSz w:w="11906" w:h="16838"/>
      <w:pgMar w:top="1361" w:right="1474" w:bottom="1417" w:left="1474" w:header="851" w:footer="992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0FA2"/>
    <w:rsid w:val="008002B1"/>
    <w:rsid w:val="0130214E"/>
    <w:rsid w:val="08FB13D1"/>
    <w:rsid w:val="0A811250"/>
    <w:rsid w:val="1E021B33"/>
    <w:rsid w:val="20862625"/>
    <w:rsid w:val="2B810BA5"/>
    <w:rsid w:val="2C6F4AA5"/>
    <w:rsid w:val="3DBB6DE8"/>
    <w:rsid w:val="485B3DC2"/>
    <w:rsid w:val="497D0A81"/>
    <w:rsid w:val="57314E56"/>
    <w:rsid w:val="5B750FA2"/>
    <w:rsid w:val="67B46747"/>
    <w:rsid w:val="72F474DD"/>
    <w:rsid w:val="7E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2019-04-24T07:52:00Z</dcterms:created>
  <dc:creator>王冰玉</dc:creator>
  <cp:lastModifiedBy>Administrator</cp:lastModifiedBy>
  <cp:lastPrinted>2019-05-14T01:39:00Z</cp:lastPrinted>
  <dcterms:modified xsi:type="dcterms:W3CDTF">2019-05-14T07:42:09Z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