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  <w:lang w:eastAsia="zh-CN"/>
        </w:rPr>
        <w:t>边院镇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财政预决算领域基层政务公开标准目录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"/>
        <w:gridCol w:w="370"/>
        <w:gridCol w:w="369"/>
        <w:gridCol w:w="3865"/>
        <w:gridCol w:w="4714"/>
        <w:gridCol w:w="970"/>
        <w:gridCol w:w="422"/>
        <w:gridCol w:w="580"/>
        <w:gridCol w:w="735"/>
        <w:gridCol w:w="317"/>
        <w:gridCol w:w="500"/>
        <w:gridCol w:w="7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公开内容（要素）及要求</w:t>
            </w:r>
          </w:p>
        </w:tc>
        <w:tc>
          <w:tcPr>
            <w:tcW w:w="47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一级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二级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特定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群体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0" w:hRule="atLeas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决算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预决算</w:t>
            </w:r>
          </w:p>
        </w:tc>
        <w:tc>
          <w:tcPr>
            <w:tcW w:w="3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收支总体情况表：①收支总体情况表。②收入总体情况表。③支出总体情况表。</w:t>
            </w:r>
          </w:p>
        </w:tc>
        <w:tc>
          <w:tcPr>
            <w:tcW w:w="4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《中华人民共和国预算法》、《中华人民共和国政府信息公开条例》、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《财政部关于印发〈地方预决算公开操作规程〉的通知》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（财预〔2016〕143号）等法律法规和文件规定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本级政府财政部门批复后20日内</w:t>
            </w:r>
          </w:p>
        </w:tc>
        <w:tc>
          <w:tcPr>
            <w:tcW w:w="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公示栏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zNWM3ZDU3YTdjZjQ3NTQyNTM4YmY0ZGRhOGNlOWIifQ=="/>
  </w:docVars>
  <w:rsids>
    <w:rsidRoot w:val="00471940"/>
    <w:rsid w:val="00471940"/>
    <w:rsid w:val="00BE3043"/>
    <w:rsid w:val="107E297F"/>
    <w:rsid w:val="1E8E11C5"/>
    <w:rsid w:val="41633B86"/>
    <w:rsid w:val="44511FDE"/>
    <w:rsid w:val="6E586AF5"/>
    <w:rsid w:val="77012C18"/>
    <w:rsid w:val="7B3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233</Characters>
  <Lines>2</Lines>
  <Paragraphs>1</Paragraphs>
  <TotalTime>9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2020-11-25T01:02:00Z</dcterms:created>
  <dc:creator>Administrator</dc:creator>
  <cp:lastModifiedBy>emmmm</cp:lastModifiedBy>
  <dcterms:modified xsi:type="dcterms:W3CDTF">2023-06-05T08:41:41Z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A2E1F034ED1742959F30117DB18C71AB_12</vt:lpwstr>
  </property>
</Properties>
</file>