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pPr>
      <w:bookmarkStart w:id="0" w:name="_GoBack"/>
      <w:r>
        <w:t>肥城市人民政府2020年政府信息公开工作年度报告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16"/>
        <w:jc w:val="both"/>
        <w:rPr>
          <w:rFonts w:ascii="微软雅黑" w:hAnsi="微软雅黑" w:eastAsia="微软雅黑" w:cs="微软雅黑"/>
          <w:i w:val="0"/>
          <w:caps w:val="0"/>
          <w:color w:val="333333"/>
          <w:spacing w:val="0"/>
          <w:sz w:val="27"/>
          <w:szCs w:val="27"/>
        </w:rPr>
      </w:pPr>
      <w:r>
        <w:rPr>
          <w:rFonts w:ascii="仿宋" w:hAnsi="仿宋" w:eastAsia="仿宋" w:cs="仿宋"/>
          <w:i w:val="0"/>
          <w:caps w:val="0"/>
          <w:color w:val="333333"/>
          <w:spacing w:val="0"/>
          <w:sz w:val="25"/>
          <w:szCs w:val="25"/>
          <w:bdr w:val="none" w:color="auto" w:sz="0" w:space="0"/>
          <w:shd w:val="clear" w:fill="FFFFFF"/>
        </w:rPr>
        <w:t>根据《中华人民共和国政府信息公开条例》，特向社会公布2020年度本机关政府信息公开工作年度报告。全文包括：总体情况；主动公开政府信息情况；收到和处理政府信息公开申请情况；因政府信息公开工作被申请行政复议、提起行政诉讼情况；政府信息公开工作存在的主要问题及改进情况；其他需要报告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16"/>
        <w:jc w:val="both"/>
        <w:rPr>
          <w:rFonts w:hint="eastAsia" w:ascii="微软雅黑" w:hAnsi="微软雅黑" w:eastAsia="微软雅黑" w:cs="微软雅黑"/>
          <w:i w:val="0"/>
          <w:caps w:val="0"/>
          <w:color w:val="333333"/>
          <w:spacing w:val="0"/>
          <w:sz w:val="27"/>
          <w:szCs w:val="27"/>
        </w:rPr>
      </w:pPr>
      <w:r>
        <w:rPr>
          <w:rFonts w:hint="eastAsia" w:ascii="仿宋" w:hAnsi="仿宋" w:eastAsia="仿宋" w:cs="仿宋"/>
          <w:i w:val="0"/>
          <w:caps w:val="0"/>
          <w:color w:val="333333"/>
          <w:spacing w:val="0"/>
          <w:sz w:val="25"/>
          <w:szCs w:val="25"/>
          <w:bdr w:val="none" w:color="auto" w:sz="0" w:space="0"/>
          <w:shd w:val="clear" w:fill="FFFFFF"/>
        </w:rPr>
        <w:t>报告中所列数据的统计期限自2020年1月1日起至2020年12月31日止。报告的电子版可在市政府门户“中国肥城”（ http://www.feicheng.gov.cn/col/col45857/index.html）下载。如对本报告有任何疑问，请与肥城市人民政府办公室联系（地址：肥城市龙山路032号；邮编：271600；电话：0538-3229885；传真：0538-3211770；电子邮箱：</w:t>
      </w:r>
      <w:r>
        <w:rPr>
          <w:rFonts w:hint="eastAsia" w:ascii="微软雅黑" w:hAnsi="微软雅黑" w:eastAsia="微软雅黑" w:cs="微软雅黑"/>
          <w:i w:val="0"/>
          <w:caps w:val="0"/>
          <w:color w:val="555555"/>
          <w:spacing w:val="0"/>
          <w:sz w:val="27"/>
          <w:szCs w:val="27"/>
          <w:u w:val="none"/>
          <w:bdr w:val="none" w:color="auto" w:sz="0" w:space="0"/>
          <w:shd w:val="clear" w:fill="FFFFFF"/>
        </w:rPr>
        <w:fldChar w:fldCharType="begin"/>
      </w:r>
      <w:r>
        <w:rPr>
          <w:rFonts w:hint="eastAsia" w:ascii="微软雅黑" w:hAnsi="微软雅黑" w:eastAsia="微软雅黑" w:cs="微软雅黑"/>
          <w:i w:val="0"/>
          <w:caps w:val="0"/>
          <w:color w:val="555555"/>
          <w:spacing w:val="0"/>
          <w:sz w:val="27"/>
          <w:szCs w:val="27"/>
          <w:u w:val="none"/>
          <w:bdr w:val="none" w:color="auto" w:sz="0" w:space="0"/>
          <w:shd w:val="clear" w:fill="FFFFFF"/>
        </w:rPr>
        <w:instrText xml:space="preserve"> HYPERLINK "mailto:fczwgk@ta.shandong.cn" </w:instrText>
      </w:r>
      <w:r>
        <w:rPr>
          <w:rFonts w:hint="eastAsia" w:ascii="微软雅黑" w:hAnsi="微软雅黑" w:eastAsia="微软雅黑" w:cs="微软雅黑"/>
          <w:i w:val="0"/>
          <w:caps w:val="0"/>
          <w:color w:val="555555"/>
          <w:spacing w:val="0"/>
          <w:sz w:val="27"/>
          <w:szCs w:val="27"/>
          <w:u w:val="none"/>
          <w:bdr w:val="none" w:color="auto" w:sz="0" w:space="0"/>
          <w:shd w:val="clear" w:fill="FFFFFF"/>
        </w:rPr>
        <w:fldChar w:fldCharType="separate"/>
      </w:r>
      <w:r>
        <w:rPr>
          <w:rStyle w:val="7"/>
          <w:rFonts w:hint="eastAsia" w:ascii="仿宋" w:hAnsi="仿宋" w:eastAsia="仿宋" w:cs="仿宋"/>
          <w:i w:val="0"/>
          <w:caps w:val="0"/>
          <w:color w:val="555555"/>
          <w:spacing w:val="0"/>
          <w:sz w:val="25"/>
          <w:szCs w:val="25"/>
          <w:u w:val="none"/>
          <w:bdr w:val="none" w:color="auto" w:sz="0" w:space="0"/>
          <w:shd w:val="clear" w:fill="FFFFFF"/>
        </w:rPr>
        <w:t>fczwgk@ta.shandong.cn</w:t>
      </w:r>
      <w:r>
        <w:rPr>
          <w:rFonts w:hint="eastAsia" w:ascii="微软雅黑" w:hAnsi="微软雅黑" w:eastAsia="微软雅黑" w:cs="微软雅黑"/>
          <w:i w:val="0"/>
          <w:caps w:val="0"/>
          <w:color w:val="555555"/>
          <w:spacing w:val="0"/>
          <w:sz w:val="27"/>
          <w:szCs w:val="27"/>
          <w:u w:val="none"/>
          <w:bdr w:val="none" w:color="auto" w:sz="0" w:space="0"/>
          <w:shd w:val="clear" w:fill="FFFFFF"/>
        </w:rPr>
        <w:fldChar w:fldCharType="end"/>
      </w:r>
      <w:r>
        <w:rPr>
          <w:rFonts w:hint="eastAsia" w:ascii="仿宋" w:hAnsi="仿宋" w:eastAsia="仿宋" w:cs="仿宋"/>
          <w:i w:val="0"/>
          <w:caps w:val="0"/>
          <w:color w:val="333333"/>
          <w:spacing w:val="0"/>
          <w:sz w:val="25"/>
          <w:szCs w:val="25"/>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16"/>
        <w:jc w:val="both"/>
        <w:rPr>
          <w:rFonts w:hint="eastAsia" w:ascii="微软雅黑" w:hAnsi="微软雅黑" w:eastAsia="微软雅黑" w:cs="微软雅黑"/>
          <w:i w:val="0"/>
          <w:caps w:val="0"/>
          <w:color w:val="333333"/>
          <w:spacing w:val="0"/>
          <w:sz w:val="27"/>
          <w:szCs w:val="27"/>
        </w:rPr>
      </w:pPr>
      <w:r>
        <w:rPr>
          <w:rFonts w:ascii="黑体" w:hAnsi="宋体" w:eastAsia="黑体" w:cs="黑体"/>
          <w:i w:val="0"/>
          <w:caps w:val="0"/>
          <w:color w:val="333333"/>
          <w:spacing w:val="0"/>
          <w:sz w:val="25"/>
          <w:szCs w:val="25"/>
          <w:bdr w:val="none" w:color="auto" w:sz="0" w:space="0"/>
          <w:shd w:val="clear" w:fill="FFFFFF"/>
        </w:rPr>
        <w:t>一、总体情况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16"/>
        <w:jc w:val="both"/>
        <w:rPr>
          <w:rFonts w:hint="eastAsia" w:ascii="微软雅黑" w:hAnsi="微软雅黑" w:eastAsia="微软雅黑" w:cs="微软雅黑"/>
          <w:i w:val="0"/>
          <w:caps w:val="0"/>
          <w:color w:val="333333"/>
          <w:spacing w:val="0"/>
          <w:sz w:val="27"/>
          <w:szCs w:val="27"/>
        </w:rPr>
      </w:pPr>
      <w:r>
        <w:rPr>
          <w:rFonts w:hint="eastAsia" w:ascii="仿宋" w:hAnsi="仿宋" w:eastAsia="仿宋" w:cs="仿宋"/>
          <w:i w:val="0"/>
          <w:caps w:val="0"/>
          <w:color w:val="333333"/>
          <w:spacing w:val="0"/>
          <w:sz w:val="25"/>
          <w:szCs w:val="25"/>
          <w:bdr w:val="none" w:color="auto" w:sz="0" w:space="0"/>
          <w:shd w:val="clear" w:fill="FFFFFF"/>
        </w:rPr>
        <w:t>2020年，我市认真贯彻落实《中华人民共和国政府信息公开条例》、《国务院办公厅关于印发2020年政务公开工作要点的通知》、《山东省人民政府办公厅关于印发2020年山东省政务公开工作要点的通知》、《泰安市人民政府办公室关于印发2020年泰安市政务公开重点工作任务分解表的通知》等文件要求，大力推进决策、执行、管理、服务、结果公开、重点领域信息公开、政府信息依申请公开、政策解读回应和政务公开保障体制机制建设等方面工作。各项工作均有序推进，政务公开制度化、标准化、规范化水平明显提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16"/>
        <w:jc w:val="both"/>
        <w:rPr>
          <w:rFonts w:hint="eastAsia" w:ascii="微软雅黑" w:hAnsi="微软雅黑" w:eastAsia="微软雅黑" w:cs="微软雅黑"/>
          <w:i w:val="0"/>
          <w:caps w:val="0"/>
          <w:color w:val="333333"/>
          <w:spacing w:val="0"/>
          <w:sz w:val="27"/>
          <w:szCs w:val="27"/>
        </w:rPr>
      </w:pPr>
      <w:r>
        <w:rPr>
          <w:rFonts w:ascii="楷体_GB2312" w:hAnsi="微软雅黑" w:eastAsia="楷体_GB2312" w:cs="楷体_GB2312"/>
          <w:b/>
          <w:i w:val="0"/>
          <w:caps w:val="0"/>
          <w:color w:val="333333"/>
          <w:spacing w:val="0"/>
          <w:sz w:val="25"/>
          <w:szCs w:val="25"/>
          <w:bdr w:val="none" w:color="auto" w:sz="0" w:space="0"/>
          <w:shd w:val="clear" w:fill="FFFFFF"/>
        </w:rPr>
        <w:t>（一）</w:t>
      </w:r>
      <w:r>
        <w:rPr>
          <w:rStyle w:val="6"/>
          <w:rFonts w:hint="default" w:ascii="楷体_GB2312" w:hAnsi="微软雅黑" w:eastAsia="楷体_GB2312" w:cs="楷体_GB2312"/>
          <w:b/>
          <w:i w:val="0"/>
          <w:caps w:val="0"/>
          <w:color w:val="333333"/>
          <w:spacing w:val="0"/>
          <w:sz w:val="25"/>
          <w:szCs w:val="25"/>
          <w:bdr w:val="none" w:color="auto" w:sz="0" w:space="0"/>
          <w:shd w:val="clear" w:fill="FFFFFF"/>
        </w:rPr>
        <w:t>政府信息主动公开目录逐项任务落实情况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16"/>
        <w:jc w:val="both"/>
        <w:rPr>
          <w:rFonts w:hint="eastAsia" w:ascii="微软雅黑" w:hAnsi="微软雅黑" w:eastAsia="微软雅黑" w:cs="微软雅黑"/>
          <w:i w:val="0"/>
          <w:caps w:val="0"/>
          <w:color w:val="333333"/>
          <w:spacing w:val="0"/>
          <w:sz w:val="27"/>
          <w:szCs w:val="27"/>
        </w:rPr>
      </w:pPr>
      <w:r>
        <w:rPr>
          <w:rFonts w:hint="eastAsia" w:ascii="仿宋" w:hAnsi="仿宋" w:eastAsia="仿宋" w:cs="仿宋"/>
          <w:i w:val="0"/>
          <w:caps w:val="0"/>
          <w:color w:val="333333"/>
          <w:spacing w:val="0"/>
          <w:sz w:val="25"/>
          <w:szCs w:val="25"/>
          <w:bdr w:val="none" w:color="auto" w:sz="0" w:space="0"/>
          <w:shd w:val="clear" w:fill="FFFFFF"/>
        </w:rPr>
        <w:t>1、强化重大决策公开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16"/>
        <w:jc w:val="both"/>
        <w:rPr>
          <w:rFonts w:hint="eastAsia" w:ascii="微软雅黑" w:hAnsi="微软雅黑" w:eastAsia="微软雅黑" w:cs="微软雅黑"/>
          <w:i w:val="0"/>
          <w:caps w:val="0"/>
          <w:color w:val="333333"/>
          <w:spacing w:val="0"/>
          <w:sz w:val="27"/>
          <w:szCs w:val="27"/>
        </w:rPr>
      </w:pPr>
      <w:r>
        <w:rPr>
          <w:rFonts w:hint="eastAsia" w:ascii="仿宋" w:hAnsi="仿宋" w:eastAsia="仿宋" w:cs="仿宋"/>
          <w:i w:val="0"/>
          <w:caps w:val="0"/>
          <w:color w:val="333333"/>
          <w:spacing w:val="0"/>
          <w:sz w:val="25"/>
          <w:szCs w:val="25"/>
          <w:bdr w:val="none" w:color="auto" w:sz="0" w:space="0"/>
          <w:shd w:val="clear" w:fill="FFFFFF"/>
        </w:rPr>
        <w:t>（1）推进重大决策预公开。根据重大行政决策预公开制度，对涉及群众切身利益、需要社会广泛知晓的重大行政决策，除依法应当保密的外，均向社会公布，并及时通过意见征集专栏向社会公众公开意见收集汇总情况。2020年，共开展意见征集７期，收集意见35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16"/>
        <w:jc w:val="both"/>
        <w:rPr>
          <w:rFonts w:hint="eastAsia" w:ascii="微软雅黑" w:hAnsi="微软雅黑" w:eastAsia="微软雅黑" w:cs="微软雅黑"/>
          <w:i w:val="0"/>
          <w:caps w:val="0"/>
          <w:color w:val="333333"/>
          <w:spacing w:val="0"/>
          <w:sz w:val="27"/>
          <w:szCs w:val="27"/>
        </w:rPr>
      </w:pPr>
      <w:r>
        <w:rPr>
          <w:rFonts w:hint="eastAsia" w:ascii="仿宋" w:hAnsi="仿宋" w:eastAsia="仿宋" w:cs="仿宋"/>
          <w:i w:val="0"/>
          <w:caps w:val="0"/>
          <w:color w:val="333333"/>
          <w:spacing w:val="0"/>
          <w:sz w:val="25"/>
          <w:szCs w:val="25"/>
          <w:bdr w:val="none" w:color="auto" w:sz="0" w:space="0"/>
          <w:shd w:val="clear" w:fill="FFFFFF"/>
        </w:rPr>
        <w:t>（2）推进政府会议公开。年内市政府召开的常务会议均通过网站、新闻媒体、电视对外发布了会议召开情况。对市政府常务会议研究的事项出台后，除依法需要保密的外及时公开，并进行了相应解读工作。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16"/>
        <w:jc w:val="both"/>
        <w:rPr>
          <w:rFonts w:hint="eastAsia" w:ascii="微软雅黑" w:hAnsi="微软雅黑" w:eastAsia="微软雅黑" w:cs="微软雅黑"/>
          <w:i w:val="0"/>
          <w:caps w:val="0"/>
          <w:color w:val="333333"/>
          <w:spacing w:val="0"/>
          <w:sz w:val="27"/>
          <w:szCs w:val="27"/>
        </w:rPr>
      </w:pPr>
      <w:r>
        <w:rPr>
          <w:rFonts w:hint="eastAsia" w:ascii="仿宋" w:hAnsi="仿宋" w:eastAsia="仿宋" w:cs="仿宋"/>
          <w:i w:val="0"/>
          <w:caps w:val="0"/>
          <w:color w:val="333333"/>
          <w:spacing w:val="0"/>
          <w:sz w:val="25"/>
          <w:szCs w:val="25"/>
          <w:bdr w:val="none" w:color="auto" w:sz="0" w:space="0"/>
          <w:shd w:val="clear" w:fill="FFFFFF"/>
        </w:rPr>
        <w:t>（3）做好政策解读工作。紧紧围绕全市经济高质量发展要求，全面强化解读回应的能力和水平。突出重点领域解读，深入推进三大攻坚战、“放管服”改革、重点民生领域、重大建设项目等方面信息公开工作，加强对相关政策措施、执行情况和工作成效的解读工作。2020年发布本级政策、上级政策及专题政策解读74条。积极回应公众关切，密切关注重要政策执行过程中的舆情反映，充分发挥政府网站、新闻发布会、广播电视等媒体作用，积极与公众进行互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16"/>
        <w:jc w:val="both"/>
        <w:rPr>
          <w:rFonts w:hint="eastAsia" w:ascii="微软雅黑" w:hAnsi="微软雅黑" w:eastAsia="微软雅黑" w:cs="微软雅黑"/>
          <w:i w:val="0"/>
          <w:caps w:val="0"/>
          <w:color w:val="333333"/>
          <w:spacing w:val="0"/>
          <w:sz w:val="27"/>
          <w:szCs w:val="27"/>
        </w:rPr>
      </w:pPr>
      <w:r>
        <w:rPr>
          <w:rFonts w:hint="eastAsia" w:ascii="仿宋" w:hAnsi="仿宋" w:eastAsia="仿宋" w:cs="仿宋"/>
          <w:i w:val="0"/>
          <w:caps w:val="0"/>
          <w:color w:val="333333"/>
          <w:spacing w:val="0"/>
          <w:sz w:val="25"/>
          <w:szCs w:val="25"/>
          <w:bdr w:val="none" w:color="auto" w:sz="0" w:space="0"/>
          <w:shd w:val="clear" w:fill="FFFFFF"/>
        </w:rPr>
        <w:t>2、优化执行和结果公开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16"/>
        <w:jc w:val="both"/>
        <w:rPr>
          <w:rFonts w:hint="eastAsia" w:ascii="微软雅黑" w:hAnsi="微软雅黑" w:eastAsia="微软雅黑" w:cs="微软雅黑"/>
          <w:i w:val="0"/>
          <w:caps w:val="0"/>
          <w:color w:val="333333"/>
          <w:spacing w:val="0"/>
          <w:sz w:val="27"/>
          <w:szCs w:val="27"/>
        </w:rPr>
      </w:pPr>
      <w:r>
        <w:rPr>
          <w:rFonts w:hint="eastAsia" w:ascii="仿宋" w:hAnsi="仿宋" w:eastAsia="仿宋" w:cs="仿宋"/>
          <w:i w:val="0"/>
          <w:caps w:val="0"/>
          <w:color w:val="333333"/>
          <w:spacing w:val="0"/>
          <w:sz w:val="25"/>
          <w:szCs w:val="25"/>
          <w:bdr w:val="none" w:color="auto" w:sz="0" w:space="0"/>
          <w:shd w:val="clear" w:fill="FFFFFF"/>
        </w:rPr>
        <w:t>（1）做好重大决策部署执行公开。集中公开落实国家省市重大决策部署、政府工作报告、年度重点工作、民生实事项目的进展情况、成效举措、督查整改及执行评估情况，方便公众监督和查阅。重点公开执行措施、实施步骤、责任分工、监督方式，并按季度跟进工作推进情况及时公开工作进展、取得成效、后续举措等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16"/>
        <w:jc w:val="both"/>
        <w:rPr>
          <w:rFonts w:hint="eastAsia" w:ascii="微软雅黑" w:hAnsi="微软雅黑" w:eastAsia="微软雅黑" w:cs="微软雅黑"/>
          <w:i w:val="0"/>
          <w:caps w:val="0"/>
          <w:color w:val="333333"/>
          <w:spacing w:val="0"/>
          <w:sz w:val="27"/>
          <w:szCs w:val="27"/>
        </w:rPr>
      </w:pPr>
      <w:r>
        <w:rPr>
          <w:rFonts w:hint="eastAsia" w:ascii="仿宋" w:hAnsi="仿宋" w:eastAsia="仿宋" w:cs="仿宋"/>
          <w:i w:val="0"/>
          <w:caps w:val="0"/>
          <w:color w:val="333333"/>
          <w:spacing w:val="0"/>
          <w:sz w:val="25"/>
          <w:szCs w:val="25"/>
          <w:bdr w:val="none" w:color="auto" w:sz="0" w:space="0"/>
          <w:shd w:val="clear" w:fill="FFFFFF"/>
        </w:rPr>
        <w:t>（2）推进建议、提案办理结果公开。在市政府门户网站设立“建议提案办理结果公开”专栏，对涉及公共利益、社会关切的建议和提案办理复文，除依法应当保密的外，以全文或摘要的方式公开，集中发布了全市政府系统人大代表建议和政协委员提案办理结果信息70余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16"/>
        <w:jc w:val="both"/>
        <w:rPr>
          <w:rFonts w:hint="eastAsia" w:ascii="微软雅黑" w:hAnsi="微软雅黑" w:eastAsia="微软雅黑" w:cs="微软雅黑"/>
          <w:i w:val="0"/>
          <w:caps w:val="0"/>
          <w:color w:val="333333"/>
          <w:spacing w:val="0"/>
          <w:sz w:val="27"/>
          <w:szCs w:val="27"/>
        </w:rPr>
      </w:pPr>
      <w:r>
        <w:rPr>
          <w:rFonts w:hint="eastAsia" w:ascii="仿宋" w:hAnsi="仿宋" w:eastAsia="仿宋" w:cs="仿宋"/>
          <w:i w:val="0"/>
          <w:caps w:val="0"/>
          <w:color w:val="333333"/>
          <w:spacing w:val="0"/>
          <w:sz w:val="25"/>
          <w:szCs w:val="25"/>
          <w:bdr w:val="none" w:color="auto" w:sz="0" w:space="0"/>
          <w:shd w:val="clear" w:fill="FFFFFF"/>
        </w:rPr>
        <w:t>3、深化管理和服务公开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16"/>
        <w:jc w:val="both"/>
        <w:rPr>
          <w:rFonts w:hint="eastAsia" w:ascii="微软雅黑" w:hAnsi="微软雅黑" w:eastAsia="微软雅黑" w:cs="微软雅黑"/>
          <w:i w:val="0"/>
          <w:caps w:val="0"/>
          <w:color w:val="333333"/>
          <w:spacing w:val="0"/>
          <w:sz w:val="27"/>
          <w:szCs w:val="27"/>
        </w:rPr>
      </w:pPr>
      <w:r>
        <w:rPr>
          <w:rFonts w:hint="eastAsia" w:ascii="仿宋" w:hAnsi="仿宋" w:eastAsia="仿宋" w:cs="仿宋"/>
          <w:i w:val="0"/>
          <w:caps w:val="0"/>
          <w:color w:val="333333"/>
          <w:spacing w:val="0"/>
          <w:sz w:val="25"/>
          <w:szCs w:val="25"/>
          <w:bdr w:val="none" w:color="auto" w:sz="0" w:space="0"/>
          <w:shd w:val="clear" w:fill="FFFFFF"/>
        </w:rPr>
        <w:t>（1）根据机构改革后部门单位调整情况，发布我市政府部门权责清单并根据法律法规立改废释情况、机构和职能调整情况进行及时调整。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16"/>
        <w:jc w:val="both"/>
        <w:rPr>
          <w:rFonts w:hint="eastAsia" w:ascii="微软雅黑" w:hAnsi="微软雅黑" w:eastAsia="微软雅黑" w:cs="微软雅黑"/>
          <w:i w:val="0"/>
          <w:caps w:val="0"/>
          <w:color w:val="333333"/>
          <w:spacing w:val="0"/>
          <w:sz w:val="27"/>
          <w:szCs w:val="27"/>
        </w:rPr>
      </w:pPr>
      <w:r>
        <w:rPr>
          <w:rFonts w:hint="eastAsia" w:ascii="仿宋" w:hAnsi="仿宋" w:eastAsia="仿宋" w:cs="仿宋"/>
          <w:i w:val="0"/>
          <w:caps w:val="0"/>
          <w:color w:val="333333"/>
          <w:spacing w:val="0"/>
          <w:sz w:val="25"/>
          <w:szCs w:val="25"/>
          <w:bdr w:val="none" w:color="auto" w:sz="0" w:space="0"/>
          <w:shd w:val="clear" w:fill="FFFFFF"/>
        </w:rPr>
        <w:t>（2）全面推进“双随机、一公开”监管，在市政府门户网站设置双随机、一公开监管栏目，市政府各部门（单位）公开随机抽查事项、抽查计划、抽查结果，公开相关信息200余条。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16"/>
        <w:jc w:val="both"/>
        <w:rPr>
          <w:rFonts w:hint="eastAsia" w:ascii="微软雅黑" w:hAnsi="微软雅黑" w:eastAsia="微软雅黑" w:cs="微软雅黑"/>
          <w:i w:val="0"/>
          <w:caps w:val="0"/>
          <w:color w:val="333333"/>
          <w:spacing w:val="0"/>
          <w:sz w:val="27"/>
          <w:szCs w:val="27"/>
        </w:rPr>
      </w:pPr>
      <w:r>
        <w:rPr>
          <w:rFonts w:hint="eastAsia" w:ascii="仿宋" w:hAnsi="仿宋" w:eastAsia="仿宋" w:cs="仿宋"/>
          <w:i w:val="0"/>
          <w:caps w:val="0"/>
          <w:color w:val="333333"/>
          <w:spacing w:val="0"/>
          <w:sz w:val="25"/>
          <w:szCs w:val="25"/>
          <w:bdr w:val="none" w:color="auto" w:sz="0" w:space="0"/>
          <w:shd w:val="clear" w:fill="FFFFFF"/>
        </w:rPr>
        <w:t>（3）推进社会信用体系建设，设立“信用信息双公示”专栏，与“信用中国（山东肥城）”网站连接，集中公开行政许可和行政处罚“双公示”信息并动态更新各类信用信息。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16"/>
        <w:jc w:val="both"/>
        <w:rPr>
          <w:rFonts w:hint="eastAsia" w:ascii="微软雅黑" w:hAnsi="微软雅黑" w:eastAsia="微软雅黑" w:cs="微软雅黑"/>
          <w:i w:val="0"/>
          <w:caps w:val="0"/>
          <w:color w:val="333333"/>
          <w:spacing w:val="0"/>
          <w:sz w:val="27"/>
          <w:szCs w:val="27"/>
        </w:rPr>
      </w:pPr>
      <w:r>
        <w:rPr>
          <w:rFonts w:hint="eastAsia" w:ascii="仿宋" w:hAnsi="仿宋" w:eastAsia="仿宋" w:cs="仿宋"/>
          <w:i w:val="0"/>
          <w:caps w:val="0"/>
          <w:color w:val="333333"/>
          <w:spacing w:val="0"/>
          <w:sz w:val="25"/>
          <w:szCs w:val="25"/>
          <w:bdr w:val="none" w:color="auto" w:sz="0" w:space="0"/>
          <w:shd w:val="clear" w:fill="FFFFFF"/>
        </w:rPr>
        <w:t>（4）做好办事服务公开。提升公开效率、提高公开质量、创新公开方式。作好优化审批流程、服务重点项目、夯实审批大厅管理三篇文章，暖心服务、高效办事。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16"/>
        <w:jc w:val="both"/>
        <w:rPr>
          <w:rFonts w:hint="eastAsia" w:ascii="微软雅黑" w:hAnsi="微软雅黑" w:eastAsia="微软雅黑" w:cs="微软雅黑"/>
          <w:i w:val="0"/>
          <w:caps w:val="0"/>
          <w:color w:val="333333"/>
          <w:spacing w:val="0"/>
          <w:sz w:val="27"/>
          <w:szCs w:val="27"/>
        </w:rPr>
      </w:pPr>
      <w:r>
        <w:rPr>
          <w:rFonts w:hint="eastAsia" w:ascii="仿宋" w:hAnsi="仿宋" w:eastAsia="仿宋" w:cs="仿宋"/>
          <w:i w:val="0"/>
          <w:caps w:val="0"/>
          <w:color w:val="333333"/>
          <w:spacing w:val="0"/>
          <w:sz w:val="25"/>
          <w:szCs w:val="25"/>
          <w:bdr w:val="none" w:color="auto" w:sz="0" w:space="0"/>
          <w:shd w:val="clear" w:fill="FFFFFF"/>
        </w:rPr>
        <w:t>4、细化重点领域公开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16"/>
        <w:jc w:val="both"/>
        <w:rPr>
          <w:rFonts w:hint="eastAsia" w:ascii="微软雅黑" w:hAnsi="微软雅黑" w:eastAsia="微软雅黑" w:cs="微软雅黑"/>
          <w:i w:val="0"/>
          <w:caps w:val="0"/>
          <w:color w:val="333333"/>
          <w:spacing w:val="0"/>
          <w:sz w:val="27"/>
          <w:szCs w:val="27"/>
        </w:rPr>
      </w:pPr>
      <w:r>
        <w:rPr>
          <w:rFonts w:hint="eastAsia" w:ascii="仿宋" w:hAnsi="仿宋" w:eastAsia="仿宋" w:cs="仿宋"/>
          <w:i w:val="0"/>
          <w:caps w:val="0"/>
          <w:color w:val="333333"/>
          <w:spacing w:val="0"/>
          <w:sz w:val="25"/>
          <w:szCs w:val="25"/>
          <w:bdr w:val="none" w:color="auto" w:sz="0" w:space="0"/>
          <w:shd w:val="clear" w:fill="FFFFFF"/>
        </w:rPr>
        <w:t>（1）全面做好财政信息公开。建立财政预决算信息公开平台，设立政府预算、政府决算、市直部门预算、市直部门决算、重点项目等栏目，全面、及时发布有关财政信息。以财政收支信息为重点，着力深化公开内容、拓展公开渠道，努力打造阳光财政、透明财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16"/>
        <w:jc w:val="both"/>
        <w:rPr>
          <w:rFonts w:hint="eastAsia" w:ascii="微软雅黑" w:hAnsi="微软雅黑" w:eastAsia="微软雅黑" w:cs="微软雅黑"/>
          <w:i w:val="0"/>
          <w:caps w:val="0"/>
          <w:color w:val="333333"/>
          <w:spacing w:val="0"/>
          <w:sz w:val="27"/>
          <w:szCs w:val="27"/>
        </w:rPr>
      </w:pPr>
      <w:r>
        <w:rPr>
          <w:rFonts w:hint="eastAsia" w:ascii="仿宋" w:hAnsi="仿宋" w:eastAsia="仿宋" w:cs="仿宋"/>
          <w:i w:val="0"/>
          <w:caps w:val="0"/>
          <w:color w:val="333333"/>
          <w:spacing w:val="0"/>
          <w:sz w:val="25"/>
          <w:szCs w:val="25"/>
          <w:bdr w:val="none" w:color="auto" w:sz="0" w:space="0"/>
          <w:shd w:val="clear" w:fill="FFFFFF"/>
        </w:rPr>
        <w:t>（2）严格落实行政执法公示制度。在市政府网站设置“肥城市行政执法信息公示平台”，按照“谁执法谁公示”原则，全面推行行政执法公示制度，强化事前公开、规范事中公开、加强事后公开、实现执法信息公开透明、执法决定合法有效，推进严格规范公正文明执法，营造优质的行政执法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16"/>
        <w:jc w:val="both"/>
        <w:rPr>
          <w:rFonts w:hint="eastAsia" w:ascii="微软雅黑" w:hAnsi="微软雅黑" w:eastAsia="微软雅黑" w:cs="微软雅黑"/>
          <w:i w:val="0"/>
          <w:caps w:val="0"/>
          <w:color w:val="333333"/>
          <w:spacing w:val="0"/>
          <w:sz w:val="27"/>
          <w:szCs w:val="27"/>
        </w:rPr>
      </w:pPr>
      <w:r>
        <w:rPr>
          <w:rFonts w:hint="eastAsia" w:ascii="仿宋" w:hAnsi="仿宋" w:eastAsia="仿宋" w:cs="仿宋"/>
          <w:i w:val="0"/>
          <w:caps w:val="0"/>
          <w:color w:val="333333"/>
          <w:spacing w:val="0"/>
          <w:sz w:val="25"/>
          <w:szCs w:val="25"/>
          <w:bdr w:val="none" w:color="auto" w:sz="0" w:space="0"/>
          <w:shd w:val="clear" w:fill="FFFFFF"/>
        </w:rPr>
        <w:t>（3）推进重大项目建设和公共资源配置领域信息公开。设立“肥城市重大建设项目专题”，发布重大建设项目办事指南和项目清单，公开重大建设项目的批准结果信息、招标投标信息、征收土地信息、重大设计变更信息、施工有关信息、质量安全监督信息、竣工有关信息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16"/>
        <w:jc w:val="both"/>
        <w:rPr>
          <w:rFonts w:hint="eastAsia" w:ascii="微软雅黑" w:hAnsi="微软雅黑" w:eastAsia="微软雅黑" w:cs="微软雅黑"/>
          <w:i w:val="0"/>
          <w:caps w:val="0"/>
          <w:color w:val="333333"/>
          <w:spacing w:val="0"/>
          <w:sz w:val="27"/>
          <w:szCs w:val="27"/>
        </w:rPr>
      </w:pPr>
      <w:r>
        <w:rPr>
          <w:rFonts w:hint="eastAsia" w:ascii="仿宋" w:hAnsi="仿宋" w:eastAsia="仿宋" w:cs="仿宋"/>
          <w:i w:val="0"/>
          <w:caps w:val="0"/>
          <w:color w:val="333333"/>
          <w:spacing w:val="0"/>
          <w:sz w:val="25"/>
          <w:szCs w:val="25"/>
          <w:bdr w:val="none" w:color="auto" w:sz="0" w:space="0"/>
          <w:shd w:val="clear" w:fill="FFFFFF"/>
        </w:rPr>
        <w:t>公共资源配置领域重点公开住房保障信息和公共资源交易信息，定期发布城镇保障性安居工程、农村危房改造和棚户区改造政策措施执行情况，公开保障性住房分配信息。依托肥城公共资源交易分平台，及时公开公共资源交易信息，并积极向移动端、自助终端等公开渠道拓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16"/>
        <w:jc w:val="both"/>
        <w:rPr>
          <w:rFonts w:hint="eastAsia" w:ascii="微软雅黑" w:hAnsi="微软雅黑" w:eastAsia="微软雅黑" w:cs="微软雅黑"/>
          <w:i w:val="0"/>
          <w:caps w:val="0"/>
          <w:color w:val="333333"/>
          <w:spacing w:val="0"/>
          <w:sz w:val="27"/>
          <w:szCs w:val="27"/>
        </w:rPr>
      </w:pPr>
      <w:r>
        <w:rPr>
          <w:rFonts w:hint="eastAsia" w:ascii="仿宋" w:hAnsi="仿宋" w:eastAsia="仿宋" w:cs="仿宋"/>
          <w:i w:val="0"/>
          <w:caps w:val="0"/>
          <w:color w:val="333333"/>
          <w:spacing w:val="0"/>
          <w:sz w:val="25"/>
          <w:szCs w:val="25"/>
          <w:bdr w:val="none" w:color="auto" w:sz="0" w:space="0"/>
          <w:shd w:val="clear" w:fill="FFFFFF"/>
        </w:rPr>
        <w:t>（4）做好“三大攻坚战”信息公开。及时公开专项扶贫、行业扶贫、社会扶贫等相关政策措施、专项规划，做好相关政策解读。定期发布全市环境空气质量状况，按季度公开饮用水水源水质、供水厂出水安全、用户水龙头水质状况。及时公开建设项目环境影响评价信息、本行政区域内重点排污单位名录，并督促重点排污企业集中公开主要污染物名称、排放方式、排放浓度和总量、超标排放情况等环境信息。及时公开防范化解重大风险政策措施及工作动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16"/>
        <w:jc w:val="both"/>
        <w:rPr>
          <w:rFonts w:hint="eastAsia" w:ascii="微软雅黑" w:hAnsi="微软雅黑" w:eastAsia="微软雅黑" w:cs="微软雅黑"/>
          <w:i w:val="0"/>
          <w:caps w:val="0"/>
          <w:color w:val="333333"/>
          <w:spacing w:val="0"/>
          <w:sz w:val="27"/>
          <w:szCs w:val="27"/>
        </w:rPr>
      </w:pPr>
      <w:r>
        <w:rPr>
          <w:rFonts w:hint="eastAsia" w:ascii="仿宋" w:hAnsi="仿宋" w:eastAsia="仿宋" w:cs="仿宋"/>
          <w:i w:val="0"/>
          <w:caps w:val="0"/>
          <w:color w:val="333333"/>
          <w:spacing w:val="0"/>
          <w:sz w:val="25"/>
          <w:szCs w:val="25"/>
          <w:bdr w:val="none" w:color="auto" w:sz="0" w:space="0"/>
          <w:shd w:val="clear" w:fill="FFFFFF"/>
        </w:rPr>
        <w:t>（5）推进社会公益事业建设领域信息公开。社会救助及社会福利方面，及时公开城乡低保、特困人员救助供养、医疗救助、临时救助的救助对象认定、救助标准，申报指南以及资金支出情况，公开经济困难老年人福利、残疾人福利、儿童福利的认定条件、申领范围等相关政策。就业和社会保障领域，公开现行有效的社会保险法规政策，定期公开社会保险参保信息，公开就业创业相关政策。教育领域，公开了我市学前教育及义务教育相关信息，重点公开我市幼儿园布局建设规划、普惠性民办幼儿园名单、义务教育学校信息、招生信息等内容，并充分利用微信公众号等新媒体，多渠道多平台发布。医疗健康领域，公开了我市基本公共卫生服务项目承担机构，我市医疗机构数量、布局等信息。公共文化体育方面，公开了公共文化体育的服务保障政策、服务体系建设、财政资金投入和使用、设施建设和使用情况以及文化体育活动信息。2020年，集中发布社会公益事业建设领域政府信息300余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16"/>
        <w:jc w:val="both"/>
        <w:rPr>
          <w:rFonts w:hint="eastAsia" w:ascii="微软雅黑" w:hAnsi="微软雅黑" w:eastAsia="微软雅黑" w:cs="微软雅黑"/>
          <w:i w:val="0"/>
          <w:caps w:val="0"/>
          <w:color w:val="333333"/>
          <w:spacing w:val="0"/>
          <w:sz w:val="27"/>
          <w:szCs w:val="27"/>
        </w:rPr>
      </w:pPr>
      <w:r>
        <w:rPr>
          <w:rFonts w:hint="eastAsia" w:ascii="仿宋" w:hAnsi="仿宋" w:eastAsia="仿宋" w:cs="仿宋"/>
          <w:i w:val="0"/>
          <w:caps w:val="0"/>
          <w:color w:val="333333"/>
          <w:spacing w:val="0"/>
          <w:sz w:val="25"/>
          <w:szCs w:val="25"/>
          <w:bdr w:val="none" w:color="auto" w:sz="0" w:space="0"/>
          <w:shd w:val="clear" w:fill="FFFFFF"/>
        </w:rPr>
        <w:t>（6）加强公共监管领域信息公开。积极推进国资国企信息公开；及时发布市场监管领域产品质量监管、食品抽检情况和违法行为处罚信息；加大建筑市场不良行为信息和行政处罚信息公开力度，主动公开执法检查信息、不良信用记录、黑名单记录等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16"/>
        <w:jc w:val="both"/>
        <w:rPr>
          <w:rFonts w:hint="eastAsia" w:ascii="微软雅黑" w:hAnsi="微软雅黑" w:eastAsia="微软雅黑" w:cs="微软雅黑"/>
          <w:i w:val="0"/>
          <w:caps w:val="0"/>
          <w:color w:val="333333"/>
          <w:spacing w:val="0"/>
          <w:sz w:val="27"/>
          <w:szCs w:val="27"/>
        </w:rPr>
      </w:pPr>
      <w:r>
        <w:rPr>
          <w:rFonts w:hint="default" w:ascii="楷体_GB2312" w:hAnsi="微软雅黑" w:eastAsia="楷体_GB2312" w:cs="楷体_GB2312"/>
          <w:b/>
          <w:i w:val="0"/>
          <w:caps w:val="0"/>
          <w:color w:val="333333"/>
          <w:spacing w:val="0"/>
          <w:sz w:val="25"/>
          <w:szCs w:val="25"/>
          <w:bdr w:val="none" w:color="auto" w:sz="0" w:space="0"/>
          <w:shd w:val="clear" w:fill="FFFFFF"/>
        </w:rPr>
        <w:t>（二）</w:t>
      </w:r>
      <w:r>
        <w:rPr>
          <w:rStyle w:val="6"/>
          <w:rFonts w:hint="default" w:ascii="楷体_GB2312" w:hAnsi="微软雅黑" w:eastAsia="楷体_GB2312" w:cs="楷体_GB2312"/>
          <w:b/>
          <w:i w:val="0"/>
          <w:caps w:val="0"/>
          <w:color w:val="333333"/>
          <w:spacing w:val="0"/>
          <w:sz w:val="25"/>
          <w:szCs w:val="25"/>
          <w:bdr w:val="none" w:color="auto" w:sz="0" w:space="0"/>
          <w:shd w:val="clear" w:fill="FFFFFF"/>
        </w:rPr>
        <w:t>政府信息公开保密审查情况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16"/>
        <w:jc w:val="both"/>
        <w:rPr>
          <w:rFonts w:hint="eastAsia" w:ascii="微软雅黑" w:hAnsi="微软雅黑" w:eastAsia="微软雅黑" w:cs="微软雅黑"/>
          <w:i w:val="0"/>
          <w:caps w:val="0"/>
          <w:color w:val="333333"/>
          <w:spacing w:val="0"/>
          <w:sz w:val="27"/>
          <w:szCs w:val="27"/>
        </w:rPr>
      </w:pPr>
      <w:r>
        <w:rPr>
          <w:rFonts w:hint="eastAsia" w:ascii="仿宋" w:hAnsi="仿宋" w:eastAsia="仿宋" w:cs="仿宋"/>
          <w:i w:val="0"/>
          <w:caps w:val="0"/>
          <w:color w:val="333333"/>
          <w:spacing w:val="0"/>
          <w:sz w:val="25"/>
          <w:szCs w:val="25"/>
          <w:bdr w:val="none" w:color="auto" w:sz="0" w:space="0"/>
          <w:shd w:val="clear" w:fill="FFFFFF"/>
        </w:rPr>
        <w:t>完善保密审查工作制度，加强对公开信息的审核复检，积极与有关部门沟通交流，确保公开内容符合保密制度。加强对公开信息的保密审查工作。严格依照《中华人民共和国政府信息公开条例》相关规定，对依法确定为国家秘密的政府信息，法律、行政法规禁止公开的政府信息，以及公开后可能危及国家安全、公共安全、经济安全、社会稳定的政府信息，不予公开。对涉及商业秘密、个人隐私等公开会对第三方合法权益造成损害的政府信息，不得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16"/>
        <w:jc w:val="both"/>
        <w:rPr>
          <w:rFonts w:hint="eastAsia" w:ascii="微软雅黑" w:hAnsi="微软雅黑" w:eastAsia="微软雅黑" w:cs="微软雅黑"/>
          <w:i w:val="0"/>
          <w:caps w:val="0"/>
          <w:color w:val="333333"/>
          <w:spacing w:val="0"/>
          <w:sz w:val="27"/>
          <w:szCs w:val="27"/>
        </w:rPr>
      </w:pPr>
      <w:r>
        <w:rPr>
          <w:rFonts w:hint="default" w:ascii="楷体_GB2312" w:hAnsi="微软雅黑" w:eastAsia="楷体_GB2312" w:cs="楷体_GB2312"/>
          <w:b/>
          <w:i w:val="0"/>
          <w:caps w:val="0"/>
          <w:color w:val="333333"/>
          <w:spacing w:val="0"/>
          <w:sz w:val="25"/>
          <w:szCs w:val="25"/>
          <w:bdr w:val="none" w:color="auto" w:sz="0" w:space="0"/>
          <w:shd w:val="clear" w:fill="FFFFFF"/>
        </w:rPr>
        <w:t>（三）</w:t>
      </w:r>
      <w:r>
        <w:rPr>
          <w:rStyle w:val="6"/>
          <w:rFonts w:hint="default" w:ascii="楷体_GB2312" w:hAnsi="微软雅黑" w:eastAsia="楷体_GB2312" w:cs="楷体_GB2312"/>
          <w:b/>
          <w:i w:val="0"/>
          <w:caps w:val="0"/>
          <w:color w:val="333333"/>
          <w:spacing w:val="0"/>
          <w:sz w:val="25"/>
          <w:szCs w:val="25"/>
          <w:bdr w:val="none" w:color="auto" w:sz="0" w:space="0"/>
          <w:shd w:val="clear" w:fill="FFFFFF"/>
        </w:rPr>
        <w:t>政府信息公开申请办理情况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16"/>
        <w:jc w:val="both"/>
        <w:rPr>
          <w:rFonts w:hint="eastAsia" w:ascii="微软雅黑" w:hAnsi="微软雅黑" w:eastAsia="微软雅黑" w:cs="微软雅黑"/>
          <w:i w:val="0"/>
          <w:caps w:val="0"/>
          <w:color w:val="333333"/>
          <w:spacing w:val="0"/>
          <w:sz w:val="27"/>
          <w:szCs w:val="27"/>
        </w:rPr>
      </w:pPr>
      <w:r>
        <w:rPr>
          <w:rFonts w:hint="eastAsia" w:ascii="仿宋" w:hAnsi="仿宋" w:eastAsia="仿宋" w:cs="仿宋"/>
          <w:i w:val="0"/>
          <w:caps w:val="0"/>
          <w:color w:val="333333"/>
          <w:spacing w:val="0"/>
          <w:sz w:val="25"/>
          <w:szCs w:val="25"/>
          <w:bdr w:val="none" w:color="auto" w:sz="0" w:space="0"/>
          <w:shd w:val="clear" w:fill="FFFFFF"/>
        </w:rPr>
        <w:t>进一步规范政府信息公开申请办理工作，开通当面、信函、网络渠道受理政府信息公开申请，不断畅通受理渠道。严格按照法律法规的办理时限要求，确保答复及时。推行答复文书标准化文本，规范答复文书格式，在答复文书上载明收到时间、申请内容、答复依据及决定、救济途径、落款、答复时间等事项。加强部门联动，通过下发协调函，协调市司法局、相关部门等多方共同会商的方式，确保答复内容的准确性和权威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16"/>
        <w:jc w:val="both"/>
        <w:rPr>
          <w:rFonts w:hint="eastAsia" w:ascii="微软雅黑" w:hAnsi="微软雅黑" w:eastAsia="微软雅黑" w:cs="微软雅黑"/>
          <w:i w:val="0"/>
          <w:caps w:val="0"/>
          <w:color w:val="333333"/>
          <w:spacing w:val="0"/>
          <w:sz w:val="27"/>
          <w:szCs w:val="27"/>
        </w:rPr>
      </w:pPr>
      <w:r>
        <w:rPr>
          <w:rFonts w:hint="default" w:ascii="楷体_GB2312" w:hAnsi="微软雅黑" w:eastAsia="楷体_GB2312" w:cs="楷体_GB2312"/>
          <w:b/>
          <w:i w:val="0"/>
          <w:caps w:val="0"/>
          <w:color w:val="333333"/>
          <w:spacing w:val="0"/>
          <w:sz w:val="25"/>
          <w:szCs w:val="25"/>
          <w:bdr w:val="none" w:color="auto" w:sz="0" w:space="0"/>
          <w:shd w:val="clear" w:fill="FFFFFF"/>
        </w:rPr>
        <w:t>（四）</w:t>
      </w:r>
      <w:r>
        <w:rPr>
          <w:rStyle w:val="6"/>
          <w:rFonts w:hint="default" w:ascii="楷体_GB2312" w:hAnsi="微软雅黑" w:eastAsia="楷体_GB2312" w:cs="楷体_GB2312"/>
          <w:b/>
          <w:i w:val="0"/>
          <w:caps w:val="0"/>
          <w:color w:val="333333"/>
          <w:spacing w:val="0"/>
          <w:sz w:val="25"/>
          <w:szCs w:val="25"/>
          <w:bdr w:val="none" w:color="auto" w:sz="0" w:space="0"/>
          <w:shd w:val="clear" w:fill="FFFFFF"/>
        </w:rPr>
        <w:t>政府信息公开的收费和减免情况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16"/>
        <w:jc w:val="both"/>
        <w:rPr>
          <w:rFonts w:hint="eastAsia" w:ascii="微软雅黑" w:hAnsi="微软雅黑" w:eastAsia="微软雅黑" w:cs="微软雅黑"/>
          <w:i w:val="0"/>
          <w:caps w:val="0"/>
          <w:color w:val="333333"/>
          <w:spacing w:val="0"/>
          <w:sz w:val="27"/>
          <w:szCs w:val="27"/>
        </w:rPr>
      </w:pPr>
      <w:r>
        <w:rPr>
          <w:rFonts w:hint="eastAsia" w:ascii="仿宋" w:hAnsi="仿宋" w:eastAsia="仿宋" w:cs="仿宋"/>
          <w:i w:val="0"/>
          <w:caps w:val="0"/>
          <w:color w:val="333333"/>
          <w:spacing w:val="0"/>
          <w:sz w:val="25"/>
          <w:szCs w:val="25"/>
          <w:bdr w:val="none" w:color="auto" w:sz="0" w:space="0"/>
          <w:shd w:val="clear" w:fill="FFFFFF"/>
        </w:rPr>
        <w:t>严格依照《中华人民共和国政府信息公开条例》相关规定，对政府信息公开进行收费。行政机关依申请提供政府信息，不收取费用。但是，申请人申请公开政府信息的数量、频次明显超过合理范围的，行政机关可以收取信息处理费。本机关2020年未收取信息处理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16"/>
        <w:jc w:val="both"/>
        <w:rPr>
          <w:rFonts w:hint="eastAsia" w:ascii="微软雅黑" w:hAnsi="微软雅黑" w:eastAsia="微软雅黑" w:cs="微软雅黑"/>
          <w:i w:val="0"/>
          <w:caps w:val="0"/>
          <w:color w:val="333333"/>
          <w:spacing w:val="0"/>
          <w:sz w:val="27"/>
          <w:szCs w:val="27"/>
        </w:rPr>
      </w:pPr>
      <w:r>
        <w:rPr>
          <w:rFonts w:hint="default" w:ascii="楷体_GB2312" w:hAnsi="微软雅黑" w:eastAsia="楷体_GB2312" w:cs="楷体_GB2312"/>
          <w:b/>
          <w:i w:val="0"/>
          <w:caps w:val="0"/>
          <w:color w:val="333333"/>
          <w:spacing w:val="0"/>
          <w:sz w:val="25"/>
          <w:szCs w:val="25"/>
          <w:bdr w:val="none" w:color="auto" w:sz="0" w:space="0"/>
          <w:shd w:val="clear" w:fill="FFFFFF"/>
        </w:rPr>
        <w:t>（五）</w:t>
      </w:r>
      <w:r>
        <w:rPr>
          <w:rStyle w:val="6"/>
          <w:rFonts w:hint="default" w:ascii="楷体_GB2312" w:hAnsi="微软雅黑" w:eastAsia="楷体_GB2312" w:cs="楷体_GB2312"/>
          <w:b/>
          <w:i w:val="0"/>
          <w:caps w:val="0"/>
          <w:color w:val="333333"/>
          <w:spacing w:val="0"/>
          <w:sz w:val="25"/>
          <w:szCs w:val="25"/>
          <w:bdr w:val="none" w:color="auto" w:sz="0" w:space="0"/>
          <w:shd w:val="clear" w:fill="FFFFFF"/>
        </w:rPr>
        <w:t>所属事业单位信息公开工作推进措施和落实情况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16"/>
        <w:jc w:val="both"/>
        <w:rPr>
          <w:rFonts w:hint="eastAsia" w:ascii="微软雅黑" w:hAnsi="微软雅黑" w:eastAsia="微软雅黑" w:cs="微软雅黑"/>
          <w:i w:val="0"/>
          <w:caps w:val="0"/>
          <w:color w:val="333333"/>
          <w:spacing w:val="0"/>
          <w:sz w:val="27"/>
          <w:szCs w:val="27"/>
        </w:rPr>
      </w:pPr>
      <w:r>
        <w:rPr>
          <w:rFonts w:hint="eastAsia" w:ascii="仿宋" w:hAnsi="仿宋" w:eastAsia="仿宋" w:cs="仿宋"/>
          <w:i w:val="0"/>
          <w:caps w:val="0"/>
          <w:color w:val="333333"/>
          <w:spacing w:val="0"/>
          <w:sz w:val="25"/>
          <w:szCs w:val="25"/>
          <w:bdr w:val="none" w:color="auto" w:sz="0" w:space="0"/>
          <w:shd w:val="clear" w:fill="FFFFFF"/>
        </w:rPr>
        <w:t>进一步规范公共企事业单位信息公开工作，提高社会公共服务水平和质量，保障公民、法人和其他组织的知情权、参与权、表达权和监督权，督促各主管部门要认真履行监管职责，加强分类指导，组织编制各公共企事业单位公开事项目录，并将公共企事业单位信息公开情况作为本部门政府信息公开工作年度报告的一项重要内容。公共企事业单位信息公开遵循全面、真实、及时、便民和有利监督的原则，按照“公开为常态，不公开为例外”要求，在法定或承诺时限内实施信息公开。对涉及公众切身利益和社会普遍关注的重要事项，应实行决策前、实施过程及实施结果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jc w:val="left"/>
        <w:rPr>
          <w:rFonts w:hint="eastAsia" w:ascii="微软雅黑" w:hAnsi="微软雅黑" w:eastAsia="微软雅黑" w:cs="微软雅黑"/>
          <w:i w:val="0"/>
          <w:caps w:val="0"/>
          <w:color w:val="333333"/>
          <w:spacing w:val="0"/>
          <w:sz w:val="16"/>
          <w:szCs w:val="16"/>
        </w:rPr>
      </w:pPr>
      <w:r>
        <w:rPr>
          <w:rFonts w:hint="default" w:ascii="楷体_GB2312" w:hAnsi="微软雅黑" w:eastAsia="楷体_GB2312" w:cs="楷体_GB2312"/>
          <w:b/>
          <w:i w:val="0"/>
          <w:caps w:val="0"/>
          <w:color w:val="333333"/>
          <w:spacing w:val="0"/>
          <w:sz w:val="25"/>
          <w:szCs w:val="25"/>
          <w:bdr w:val="none" w:color="auto" w:sz="0" w:space="0"/>
          <w:shd w:val="clear" w:fill="FFFFFF"/>
        </w:rPr>
        <w:t>   （六）</w:t>
      </w:r>
      <w:r>
        <w:rPr>
          <w:rStyle w:val="6"/>
          <w:rFonts w:hint="default" w:ascii="楷体_GB2312" w:hAnsi="微软雅黑" w:eastAsia="楷体_GB2312" w:cs="楷体_GB2312"/>
          <w:b/>
          <w:i w:val="0"/>
          <w:caps w:val="0"/>
          <w:color w:val="333333"/>
          <w:spacing w:val="0"/>
          <w:sz w:val="25"/>
          <w:szCs w:val="25"/>
          <w:bdr w:val="none" w:color="auto" w:sz="0" w:space="0"/>
          <w:shd w:val="clear" w:fill="FFFFFF"/>
        </w:rPr>
        <w:t>政府信息公开平台建设情况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16"/>
        <w:jc w:val="both"/>
        <w:rPr>
          <w:rFonts w:hint="eastAsia" w:ascii="微软雅黑" w:hAnsi="微软雅黑" w:eastAsia="微软雅黑" w:cs="微软雅黑"/>
          <w:i w:val="0"/>
          <w:caps w:val="0"/>
          <w:color w:val="333333"/>
          <w:spacing w:val="0"/>
          <w:sz w:val="27"/>
          <w:szCs w:val="27"/>
        </w:rPr>
      </w:pPr>
      <w:r>
        <w:rPr>
          <w:rFonts w:hint="eastAsia" w:ascii="仿宋" w:hAnsi="仿宋" w:eastAsia="仿宋" w:cs="仿宋"/>
          <w:i w:val="0"/>
          <w:caps w:val="0"/>
          <w:color w:val="333333"/>
          <w:spacing w:val="0"/>
          <w:sz w:val="25"/>
          <w:szCs w:val="25"/>
          <w:bdr w:val="none" w:color="auto" w:sz="0" w:space="0"/>
          <w:shd w:val="clear" w:fill="FFFFFF"/>
        </w:rPr>
        <w:t>2020年，对政务公开门户网站进行了重新建设，完成了数据迁移工作。对政务公开目录清单进行了进一步梳理，让群众查看信息更加清晰、明了。重新规划重点领域公开专栏，将与群众日常生活紧密联系的政府信息“一栏打尽”，极大方便了公众获取信息。优化网站搜索功能，使信息查找更加方便灵活。新增无障碍浏览功能，充分保障不同群体获取政府信息的需求。充分利用 “肥城政务”等新媒体矩阵，积极探索政务公开新模式，在引导舆论、展示肥城形象等方面发挥了积极作用。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16"/>
        <w:jc w:val="both"/>
        <w:rPr>
          <w:rFonts w:hint="eastAsia" w:ascii="微软雅黑" w:hAnsi="微软雅黑" w:eastAsia="微软雅黑" w:cs="微软雅黑"/>
          <w:i w:val="0"/>
          <w:caps w:val="0"/>
          <w:color w:val="333333"/>
          <w:spacing w:val="0"/>
          <w:sz w:val="27"/>
          <w:szCs w:val="27"/>
        </w:rPr>
      </w:pPr>
      <w:r>
        <w:rPr>
          <w:rFonts w:hint="default" w:ascii="楷体_GB2312" w:hAnsi="微软雅黑" w:eastAsia="楷体_GB2312" w:cs="楷体_GB2312"/>
          <w:b/>
          <w:i w:val="0"/>
          <w:caps w:val="0"/>
          <w:color w:val="333333"/>
          <w:spacing w:val="0"/>
          <w:sz w:val="25"/>
          <w:szCs w:val="25"/>
          <w:bdr w:val="none" w:color="auto" w:sz="0" w:space="0"/>
          <w:shd w:val="clear" w:fill="FFFFFF"/>
        </w:rPr>
        <w:t>（七）</w:t>
      </w:r>
      <w:r>
        <w:rPr>
          <w:rStyle w:val="6"/>
          <w:rFonts w:hint="default" w:ascii="楷体_GB2312" w:hAnsi="微软雅黑" w:eastAsia="楷体_GB2312" w:cs="楷体_GB2312"/>
          <w:b/>
          <w:i w:val="0"/>
          <w:caps w:val="0"/>
          <w:color w:val="333333"/>
          <w:spacing w:val="0"/>
          <w:sz w:val="25"/>
          <w:szCs w:val="25"/>
          <w:bdr w:val="none" w:color="auto" w:sz="0" w:space="0"/>
          <w:shd w:val="clear" w:fill="FFFFFF"/>
        </w:rPr>
        <w:t>政府信息公开监督保障情况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16"/>
        <w:jc w:val="both"/>
        <w:rPr>
          <w:rFonts w:hint="eastAsia" w:ascii="微软雅黑" w:hAnsi="微软雅黑" w:eastAsia="微软雅黑" w:cs="微软雅黑"/>
          <w:i w:val="0"/>
          <w:caps w:val="0"/>
          <w:color w:val="333333"/>
          <w:spacing w:val="0"/>
          <w:sz w:val="27"/>
          <w:szCs w:val="27"/>
        </w:rPr>
      </w:pPr>
      <w:r>
        <w:rPr>
          <w:rFonts w:hint="eastAsia" w:ascii="仿宋" w:hAnsi="仿宋" w:eastAsia="仿宋" w:cs="仿宋"/>
          <w:i w:val="0"/>
          <w:caps w:val="0"/>
          <w:color w:val="333333"/>
          <w:spacing w:val="0"/>
          <w:sz w:val="25"/>
          <w:szCs w:val="25"/>
          <w:bdr w:val="none" w:color="auto" w:sz="0" w:space="0"/>
          <w:shd w:val="clear" w:fill="FFFFFF"/>
        </w:rPr>
        <w:t>1、加强组织领导。机构改革结束后，进一步明确了市政府办公室信息公开科负责指导、协调、推进、监督全市政务公开工作，工作中各部门单位、乡镇街道也均确定了本单位政务公开工作分管领导、工作机构和工作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16"/>
        <w:jc w:val="both"/>
        <w:rPr>
          <w:rFonts w:hint="eastAsia" w:ascii="微软雅黑" w:hAnsi="微软雅黑" w:eastAsia="微软雅黑" w:cs="微软雅黑"/>
          <w:i w:val="0"/>
          <w:caps w:val="0"/>
          <w:color w:val="333333"/>
          <w:spacing w:val="0"/>
          <w:sz w:val="27"/>
          <w:szCs w:val="27"/>
        </w:rPr>
      </w:pPr>
      <w:r>
        <w:rPr>
          <w:rFonts w:hint="eastAsia" w:ascii="仿宋" w:hAnsi="仿宋" w:eastAsia="仿宋" w:cs="仿宋"/>
          <w:i w:val="0"/>
          <w:caps w:val="0"/>
          <w:color w:val="333333"/>
          <w:spacing w:val="0"/>
          <w:sz w:val="25"/>
          <w:szCs w:val="25"/>
          <w:bdr w:val="none" w:color="auto" w:sz="0" w:space="0"/>
          <w:shd w:val="clear" w:fill="FFFFFF"/>
        </w:rPr>
        <w:t>2、加强制度机制建设。根据政务公开工作的新要求新形势，制定出台了《2020年肥城市政务公开重点工作任务分解表》，明确全年重点工作任务、责任分工，严格信息发布程序，有力推动了政务公开工作标准化体系化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16"/>
        <w:jc w:val="both"/>
        <w:rPr>
          <w:rFonts w:hint="eastAsia" w:ascii="微软雅黑" w:hAnsi="微软雅黑" w:eastAsia="微软雅黑" w:cs="微软雅黑"/>
          <w:i w:val="0"/>
          <w:caps w:val="0"/>
          <w:color w:val="333333"/>
          <w:spacing w:val="0"/>
          <w:sz w:val="27"/>
          <w:szCs w:val="27"/>
        </w:rPr>
      </w:pPr>
      <w:r>
        <w:rPr>
          <w:rFonts w:hint="eastAsia" w:ascii="仿宋" w:hAnsi="仿宋" w:eastAsia="仿宋" w:cs="仿宋"/>
          <w:i w:val="0"/>
          <w:caps w:val="0"/>
          <w:color w:val="333333"/>
          <w:spacing w:val="0"/>
          <w:sz w:val="25"/>
          <w:szCs w:val="25"/>
          <w:bdr w:val="none" w:color="auto" w:sz="0" w:space="0"/>
          <w:shd w:val="clear" w:fill="FFFFFF"/>
        </w:rPr>
        <w:t>3、加强政务公开的监督考核、社会评议和责任追究。肥城市政府不断创新考核评议方式，将监督考核作为推进全市政务公开工作的重要抓手，严格落实问题整改责任追究。积极开展社会评议活动，自觉接受社会监督，完善政务公开责任追究制度，提高政务公开相关工作人员责任意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16"/>
        <w:jc w:val="both"/>
        <w:rPr>
          <w:rFonts w:hint="eastAsia" w:ascii="微软雅黑" w:hAnsi="微软雅黑" w:eastAsia="微软雅黑" w:cs="微软雅黑"/>
          <w:i w:val="0"/>
          <w:caps w:val="0"/>
          <w:color w:val="333333"/>
          <w:spacing w:val="0"/>
          <w:sz w:val="27"/>
          <w:szCs w:val="27"/>
        </w:rPr>
      </w:pPr>
      <w:r>
        <w:rPr>
          <w:rFonts w:hint="eastAsia" w:ascii="仿宋" w:hAnsi="仿宋" w:eastAsia="仿宋" w:cs="仿宋"/>
          <w:i w:val="0"/>
          <w:caps w:val="0"/>
          <w:color w:val="333333"/>
          <w:spacing w:val="0"/>
          <w:sz w:val="25"/>
          <w:szCs w:val="25"/>
          <w:bdr w:val="none" w:color="auto" w:sz="0" w:space="0"/>
          <w:shd w:val="clear" w:fill="FFFFFF"/>
        </w:rPr>
        <w:t>4、加强业务培训。组织全市39个部门（单位）、14个镇街区开展业务培训，提升政务公开工作人员的业务能力。组织开展政府信息公开知识考试，督促各单位对新修订的《政府信息公开条例》进行系统学习。积极推动各单位之间的交流互动，指导协调部门和镇街区做好主动公开和依申请公开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16"/>
        <w:jc w:val="both"/>
        <w:rPr>
          <w:rFonts w:hint="eastAsia" w:ascii="微软雅黑" w:hAnsi="微软雅黑" w:eastAsia="微软雅黑" w:cs="微软雅黑"/>
          <w:i w:val="0"/>
          <w:caps w:val="0"/>
          <w:color w:val="333333"/>
          <w:spacing w:val="0"/>
          <w:sz w:val="27"/>
          <w:szCs w:val="27"/>
        </w:rPr>
      </w:pPr>
      <w:r>
        <w:rPr>
          <w:rFonts w:hint="eastAsia" w:ascii="黑体" w:hAnsi="宋体" w:eastAsia="黑体" w:cs="黑体"/>
          <w:i w:val="0"/>
          <w:caps w:val="0"/>
          <w:color w:val="333333"/>
          <w:spacing w:val="0"/>
          <w:sz w:val="25"/>
          <w:szCs w:val="25"/>
          <w:bdr w:val="none" w:color="auto" w:sz="0" w:space="0"/>
          <w:shd w:val="clear" w:fill="FFFFFF"/>
        </w:rPr>
        <w:t>二、主动公开政府信息情况</w:t>
      </w:r>
    </w:p>
    <w:tbl>
      <w:tblPr>
        <w:tblW w:w="5000" w:type="pct"/>
        <w:jc w:val="center"/>
        <w:shd w:val="clear"/>
        <w:tblLayout w:type="autofit"/>
        <w:tblCellMar>
          <w:top w:w="0" w:type="dxa"/>
          <w:left w:w="0" w:type="dxa"/>
          <w:bottom w:w="0" w:type="dxa"/>
          <w:right w:w="0" w:type="dxa"/>
        </w:tblCellMar>
      </w:tblPr>
      <w:tblGrid>
        <w:gridCol w:w="3239"/>
        <w:gridCol w:w="1957"/>
        <w:gridCol w:w="1324"/>
        <w:gridCol w:w="1954"/>
      </w:tblGrid>
      <w:tr>
        <w:tblPrEx>
          <w:shd w:val="clear"/>
          <w:tblCellMar>
            <w:top w:w="0" w:type="dxa"/>
            <w:left w:w="0" w:type="dxa"/>
            <w:bottom w:w="0" w:type="dxa"/>
            <w:right w:w="0" w:type="dxa"/>
          </w:tblCellMar>
        </w:tblPrEx>
        <w:trPr>
          <w:trHeight w:val="396" w:hRule="atLeast"/>
          <w:jc w:val="center"/>
        </w:trPr>
        <w:tc>
          <w:tcPr>
            <w:tcW w:w="5000" w:type="pct"/>
            <w:gridSpan w:val="4"/>
            <w:tcBorders>
              <w:top w:val="single" w:color="auto" w:sz="4" w:space="0"/>
              <w:left w:val="single" w:color="auto" w:sz="4" w:space="0"/>
              <w:bottom w:val="single" w:color="auto" w:sz="4" w:space="0"/>
              <w:right w:val="single" w:color="auto" w:sz="4" w:space="0"/>
            </w:tcBorders>
            <w:shd w:val="clear" w:color="auto" w:fill="C6D9F1"/>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jc w:val="center"/>
              <w:rPr>
                <w:color w:val="333333"/>
                <w:sz w:val="16"/>
                <w:szCs w:val="16"/>
              </w:rPr>
            </w:pPr>
            <w:r>
              <w:rPr>
                <w:rFonts w:hint="default" w:ascii="Times New Roman" w:hAnsi="Times New Roman" w:cs="Times New Roman"/>
                <w:color w:val="333333"/>
                <w:sz w:val="16"/>
                <w:szCs w:val="16"/>
                <w:bdr w:val="none" w:color="auto" w:sz="0" w:space="0"/>
              </w:rPr>
              <w:t>第二十条第（一）项</w:t>
            </w:r>
          </w:p>
        </w:tc>
      </w:tr>
      <w:tr>
        <w:tblPrEx>
          <w:shd w:val="clear"/>
        </w:tblPrEx>
        <w:trPr>
          <w:trHeight w:val="744" w:hRule="atLeast"/>
          <w:jc w:val="center"/>
        </w:trPr>
        <w:tc>
          <w:tcPr>
            <w:tcW w:w="1911" w:type="pct"/>
            <w:tcBorders>
              <w:top w:val="nil"/>
              <w:left w:val="single" w:color="auto" w:sz="4" w:space="0"/>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jc w:val="center"/>
              <w:rPr>
                <w:color w:val="333333"/>
                <w:sz w:val="16"/>
                <w:szCs w:val="16"/>
              </w:rPr>
            </w:pPr>
            <w:r>
              <w:rPr>
                <w:rFonts w:hint="default" w:ascii="Times New Roman" w:hAnsi="Times New Roman" w:cs="Times New Roman"/>
                <w:color w:val="333333"/>
                <w:sz w:val="16"/>
                <w:szCs w:val="16"/>
                <w:bdr w:val="none" w:color="auto" w:sz="0" w:space="0"/>
              </w:rPr>
              <w:t>信息内容</w:t>
            </w:r>
          </w:p>
        </w:tc>
        <w:tc>
          <w:tcPr>
            <w:tcW w:w="1155" w:type="pct"/>
            <w:tcBorders>
              <w:top w:val="single" w:color="auto" w:sz="4" w:space="0"/>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jc w:val="center"/>
              <w:rPr>
                <w:color w:val="333333"/>
                <w:sz w:val="16"/>
                <w:szCs w:val="16"/>
              </w:rPr>
            </w:pPr>
            <w:r>
              <w:rPr>
                <w:rFonts w:hint="default" w:ascii="Times New Roman" w:hAnsi="Times New Roman" w:cs="Times New Roman"/>
                <w:color w:val="333333"/>
                <w:sz w:val="16"/>
                <w:szCs w:val="16"/>
                <w:bdr w:val="none" w:color="auto" w:sz="0" w:space="0"/>
              </w:rPr>
              <w:t>本年新制作数量</w:t>
            </w:r>
          </w:p>
        </w:tc>
        <w:tc>
          <w:tcPr>
            <w:tcW w:w="781" w:type="pct"/>
            <w:tcBorders>
              <w:top w:val="single" w:color="auto" w:sz="4" w:space="0"/>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jc w:val="center"/>
              <w:rPr>
                <w:color w:val="333333"/>
                <w:sz w:val="16"/>
                <w:szCs w:val="16"/>
              </w:rPr>
            </w:pPr>
            <w:r>
              <w:rPr>
                <w:rFonts w:hint="default" w:ascii="Times New Roman" w:hAnsi="Times New Roman" w:cs="Times New Roman"/>
                <w:color w:val="333333"/>
                <w:sz w:val="16"/>
                <w:szCs w:val="16"/>
                <w:bdr w:val="none" w:color="auto" w:sz="0" w:space="0"/>
              </w:rPr>
              <w:t>本年新公开数量</w:t>
            </w:r>
          </w:p>
        </w:tc>
        <w:tc>
          <w:tcPr>
            <w:tcW w:w="1153" w:type="pct"/>
            <w:tcBorders>
              <w:top w:val="nil"/>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jc w:val="center"/>
              <w:rPr>
                <w:color w:val="333333"/>
                <w:sz w:val="16"/>
                <w:szCs w:val="16"/>
              </w:rPr>
            </w:pPr>
            <w:r>
              <w:rPr>
                <w:rFonts w:hint="default" w:ascii="Times New Roman" w:hAnsi="Times New Roman" w:cs="Times New Roman"/>
                <w:color w:val="333333"/>
                <w:sz w:val="16"/>
                <w:szCs w:val="16"/>
                <w:bdr w:val="none" w:color="auto" w:sz="0" w:space="0"/>
              </w:rPr>
              <w:t>对外公开总数量</w:t>
            </w:r>
          </w:p>
        </w:tc>
      </w:tr>
      <w:tr>
        <w:tblPrEx>
          <w:shd w:val="clear"/>
        </w:tblPrEx>
        <w:trPr>
          <w:trHeight w:val="372" w:hRule="atLeast"/>
          <w:jc w:val="center"/>
        </w:trPr>
        <w:tc>
          <w:tcPr>
            <w:tcW w:w="1911" w:type="pct"/>
            <w:tcBorders>
              <w:top w:val="nil"/>
              <w:left w:val="single" w:color="auto" w:sz="4" w:space="0"/>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rPr>
                <w:color w:val="333333"/>
                <w:sz w:val="16"/>
                <w:szCs w:val="16"/>
              </w:rPr>
            </w:pPr>
            <w:r>
              <w:rPr>
                <w:rFonts w:hint="default" w:ascii="Times New Roman" w:hAnsi="Times New Roman" w:cs="Times New Roman"/>
                <w:color w:val="333333"/>
                <w:sz w:val="16"/>
                <w:szCs w:val="16"/>
                <w:bdr w:val="none" w:color="auto" w:sz="0" w:space="0"/>
              </w:rPr>
              <w:t>规范性文件</w:t>
            </w:r>
          </w:p>
        </w:tc>
        <w:tc>
          <w:tcPr>
            <w:tcW w:w="1155" w:type="pct"/>
            <w:tcBorders>
              <w:top w:val="nil"/>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rPr>
                <w:color w:val="333333"/>
                <w:sz w:val="16"/>
                <w:szCs w:val="16"/>
              </w:rPr>
            </w:pPr>
            <w:r>
              <w:rPr>
                <w:color w:val="333333"/>
                <w:sz w:val="16"/>
                <w:szCs w:val="16"/>
                <w:bdr w:val="none" w:color="auto" w:sz="0" w:space="0"/>
              </w:rPr>
              <w:t>　　</w:t>
            </w:r>
            <w:r>
              <w:rPr>
                <w:rFonts w:hint="eastAsia" w:ascii="宋体" w:hAnsi="宋体" w:eastAsia="宋体" w:cs="宋体"/>
                <w:color w:val="333333"/>
                <w:sz w:val="16"/>
                <w:szCs w:val="16"/>
                <w:bdr w:val="none" w:color="auto" w:sz="0" w:space="0"/>
              </w:rPr>
              <w:t>1</w:t>
            </w:r>
          </w:p>
        </w:tc>
        <w:tc>
          <w:tcPr>
            <w:tcW w:w="781" w:type="pct"/>
            <w:tcBorders>
              <w:top w:val="nil"/>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rPr>
                <w:color w:val="333333"/>
                <w:sz w:val="16"/>
                <w:szCs w:val="16"/>
              </w:rPr>
            </w:pPr>
            <w:r>
              <w:rPr>
                <w:rFonts w:hint="eastAsia" w:ascii="宋体" w:hAnsi="宋体" w:eastAsia="宋体" w:cs="宋体"/>
                <w:color w:val="333333"/>
                <w:sz w:val="16"/>
                <w:szCs w:val="16"/>
                <w:bdr w:val="none" w:color="auto" w:sz="0" w:space="0"/>
              </w:rPr>
              <w:t>1</w:t>
            </w:r>
          </w:p>
        </w:tc>
        <w:tc>
          <w:tcPr>
            <w:tcW w:w="1153" w:type="pct"/>
            <w:tcBorders>
              <w:top w:val="nil"/>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rPr>
                <w:color w:val="333333"/>
                <w:sz w:val="16"/>
                <w:szCs w:val="16"/>
              </w:rPr>
            </w:pPr>
            <w:r>
              <w:rPr>
                <w:color w:val="333333"/>
                <w:sz w:val="16"/>
                <w:szCs w:val="16"/>
                <w:bdr w:val="none" w:color="auto" w:sz="0" w:space="0"/>
              </w:rPr>
              <w:t>　</w:t>
            </w:r>
            <w:r>
              <w:rPr>
                <w:rFonts w:hint="eastAsia" w:ascii="宋体" w:hAnsi="宋体" w:eastAsia="宋体" w:cs="宋体"/>
                <w:color w:val="333333"/>
                <w:sz w:val="16"/>
                <w:szCs w:val="16"/>
                <w:bdr w:val="none" w:color="auto" w:sz="0" w:space="0"/>
              </w:rPr>
              <w:t>9</w:t>
            </w:r>
          </w:p>
        </w:tc>
      </w:tr>
      <w:tr>
        <w:tblPrEx>
          <w:shd w:val="clear"/>
          <w:tblCellMar>
            <w:top w:w="0" w:type="dxa"/>
            <w:left w:w="0" w:type="dxa"/>
            <w:bottom w:w="0" w:type="dxa"/>
            <w:right w:w="0" w:type="dxa"/>
          </w:tblCellMar>
        </w:tblPrEx>
        <w:trPr>
          <w:trHeight w:val="480" w:hRule="atLeast"/>
          <w:jc w:val="center"/>
        </w:trPr>
        <w:tc>
          <w:tcPr>
            <w:tcW w:w="5000" w:type="pct"/>
            <w:gridSpan w:val="4"/>
            <w:tcBorders>
              <w:top w:val="nil"/>
              <w:left w:val="single" w:color="auto" w:sz="4" w:space="0"/>
              <w:bottom w:val="single" w:color="auto" w:sz="4" w:space="0"/>
              <w:right w:val="single" w:color="auto" w:sz="4" w:space="0"/>
            </w:tcBorders>
            <w:shd w:val="clear" w:color="auto" w:fill="C6D9F1"/>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jc w:val="center"/>
              <w:rPr>
                <w:color w:val="333333"/>
                <w:sz w:val="16"/>
                <w:szCs w:val="16"/>
              </w:rPr>
            </w:pPr>
            <w:r>
              <w:rPr>
                <w:rFonts w:hint="default" w:ascii="Times New Roman" w:hAnsi="Times New Roman" w:cs="Times New Roman"/>
                <w:color w:val="333333"/>
                <w:sz w:val="16"/>
                <w:szCs w:val="16"/>
                <w:bdr w:val="none" w:color="auto" w:sz="0" w:space="0"/>
              </w:rPr>
              <w:t>第二十条第（五）项</w:t>
            </w:r>
          </w:p>
        </w:tc>
      </w:tr>
      <w:tr>
        <w:tblPrEx>
          <w:shd w:val="clear"/>
          <w:tblCellMar>
            <w:top w:w="0" w:type="dxa"/>
            <w:left w:w="0" w:type="dxa"/>
            <w:bottom w:w="0" w:type="dxa"/>
            <w:right w:w="0" w:type="dxa"/>
          </w:tblCellMar>
        </w:tblPrEx>
        <w:trPr>
          <w:trHeight w:val="696" w:hRule="atLeast"/>
          <w:jc w:val="center"/>
        </w:trPr>
        <w:tc>
          <w:tcPr>
            <w:tcW w:w="1911" w:type="pct"/>
            <w:tcBorders>
              <w:top w:val="nil"/>
              <w:left w:val="single" w:color="auto" w:sz="4" w:space="0"/>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jc w:val="center"/>
              <w:rPr>
                <w:color w:val="333333"/>
                <w:sz w:val="16"/>
                <w:szCs w:val="16"/>
              </w:rPr>
            </w:pPr>
            <w:r>
              <w:rPr>
                <w:rFonts w:hint="default" w:ascii="Times New Roman" w:hAnsi="Times New Roman" w:cs="Times New Roman"/>
                <w:color w:val="333333"/>
                <w:sz w:val="16"/>
                <w:szCs w:val="16"/>
                <w:bdr w:val="none" w:color="auto" w:sz="0" w:space="0"/>
              </w:rPr>
              <w:t>信息内容</w:t>
            </w:r>
          </w:p>
        </w:tc>
        <w:tc>
          <w:tcPr>
            <w:tcW w:w="1155" w:type="pct"/>
            <w:tcBorders>
              <w:top w:val="single" w:color="auto" w:sz="4" w:space="0"/>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jc w:val="center"/>
              <w:rPr>
                <w:color w:val="333333"/>
                <w:sz w:val="16"/>
                <w:szCs w:val="16"/>
              </w:rPr>
            </w:pPr>
            <w:r>
              <w:rPr>
                <w:rFonts w:hint="default" w:ascii="Times New Roman" w:hAnsi="Times New Roman" w:cs="Times New Roman"/>
                <w:color w:val="333333"/>
                <w:sz w:val="16"/>
                <w:szCs w:val="16"/>
                <w:bdr w:val="none" w:color="auto" w:sz="0" w:space="0"/>
              </w:rPr>
              <w:t>上一年项目数量</w:t>
            </w:r>
          </w:p>
        </w:tc>
        <w:tc>
          <w:tcPr>
            <w:tcW w:w="781" w:type="pct"/>
            <w:tcBorders>
              <w:top w:val="single" w:color="auto" w:sz="4" w:space="0"/>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jc w:val="center"/>
              <w:rPr>
                <w:color w:val="333333"/>
                <w:sz w:val="16"/>
                <w:szCs w:val="16"/>
              </w:rPr>
            </w:pPr>
            <w:r>
              <w:rPr>
                <w:rFonts w:hint="default" w:ascii="Times New Roman" w:hAnsi="Times New Roman" w:cs="Times New Roman"/>
                <w:color w:val="333333"/>
                <w:sz w:val="16"/>
                <w:szCs w:val="16"/>
                <w:bdr w:val="none" w:color="auto" w:sz="0" w:space="0"/>
              </w:rPr>
              <w:t>本年增/</w:t>
            </w:r>
            <w:r>
              <w:rPr>
                <w:rFonts w:hint="eastAsia" w:ascii="宋体" w:hAnsi="宋体" w:eastAsia="宋体" w:cs="宋体"/>
                <w:color w:val="333333"/>
                <w:sz w:val="16"/>
                <w:szCs w:val="16"/>
                <w:bdr w:val="none" w:color="auto" w:sz="0" w:space="0"/>
              </w:rPr>
              <w:t>减</w:t>
            </w:r>
          </w:p>
        </w:tc>
        <w:tc>
          <w:tcPr>
            <w:tcW w:w="1153" w:type="pct"/>
            <w:tcBorders>
              <w:top w:val="nil"/>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jc w:val="center"/>
              <w:rPr>
                <w:color w:val="333333"/>
                <w:sz w:val="16"/>
                <w:szCs w:val="16"/>
              </w:rPr>
            </w:pPr>
            <w:r>
              <w:rPr>
                <w:rFonts w:hint="default" w:ascii="Times New Roman" w:hAnsi="Times New Roman" w:cs="Times New Roman"/>
                <w:color w:val="333333"/>
                <w:sz w:val="16"/>
                <w:szCs w:val="16"/>
                <w:bdr w:val="none" w:color="auto" w:sz="0" w:space="0"/>
              </w:rPr>
              <w:t>处理决定数量</w:t>
            </w:r>
          </w:p>
        </w:tc>
      </w:tr>
      <w:tr>
        <w:tblPrEx>
          <w:shd w:val="clear"/>
          <w:tblCellMar>
            <w:top w:w="0" w:type="dxa"/>
            <w:left w:w="0" w:type="dxa"/>
            <w:bottom w:w="0" w:type="dxa"/>
            <w:right w:w="0" w:type="dxa"/>
          </w:tblCellMar>
        </w:tblPrEx>
        <w:trPr>
          <w:trHeight w:val="420" w:hRule="atLeast"/>
          <w:jc w:val="center"/>
        </w:trPr>
        <w:tc>
          <w:tcPr>
            <w:tcW w:w="1911" w:type="pct"/>
            <w:tcBorders>
              <w:top w:val="nil"/>
              <w:left w:val="single" w:color="auto" w:sz="4" w:space="0"/>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rPr>
                <w:color w:val="333333"/>
                <w:sz w:val="16"/>
                <w:szCs w:val="16"/>
              </w:rPr>
            </w:pPr>
            <w:r>
              <w:rPr>
                <w:rFonts w:hint="default" w:ascii="Times New Roman" w:hAnsi="Times New Roman" w:cs="Times New Roman"/>
                <w:color w:val="333333"/>
                <w:sz w:val="16"/>
                <w:szCs w:val="16"/>
                <w:bdr w:val="none" w:color="auto" w:sz="0" w:space="0"/>
              </w:rPr>
              <w:t>行政许可</w:t>
            </w:r>
          </w:p>
        </w:tc>
        <w:tc>
          <w:tcPr>
            <w:tcW w:w="1155" w:type="pct"/>
            <w:tcBorders>
              <w:top w:val="nil"/>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rPr>
                <w:color w:val="333333"/>
                <w:sz w:val="16"/>
                <w:szCs w:val="16"/>
              </w:rPr>
            </w:pPr>
            <w:r>
              <w:rPr>
                <w:rFonts w:hint="eastAsia" w:ascii="宋体" w:hAnsi="宋体" w:eastAsia="宋体" w:cs="宋体"/>
                <w:color w:val="333333"/>
                <w:sz w:val="16"/>
                <w:szCs w:val="16"/>
                <w:bdr w:val="none" w:color="auto" w:sz="0" w:space="0"/>
              </w:rPr>
              <w:t>451</w:t>
            </w:r>
          </w:p>
        </w:tc>
        <w:tc>
          <w:tcPr>
            <w:tcW w:w="781" w:type="pct"/>
            <w:tcBorders>
              <w:top w:val="nil"/>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rPr>
                <w:color w:val="333333"/>
                <w:sz w:val="16"/>
                <w:szCs w:val="16"/>
              </w:rPr>
            </w:pPr>
            <w:r>
              <w:rPr>
                <w:color w:val="333333"/>
                <w:sz w:val="16"/>
                <w:szCs w:val="16"/>
                <w:bdr w:val="none" w:color="auto" w:sz="0" w:space="0"/>
              </w:rPr>
              <w:t>　</w:t>
            </w:r>
            <w:r>
              <w:rPr>
                <w:rFonts w:hint="eastAsia" w:ascii="宋体" w:hAnsi="宋体" w:eastAsia="宋体" w:cs="宋体"/>
                <w:color w:val="333333"/>
                <w:sz w:val="16"/>
                <w:szCs w:val="16"/>
                <w:bdr w:val="none" w:color="auto" w:sz="0" w:space="0"/>
              </w:rPr>
              <w:t>-13</w:t>
            </w:r>
          </w:p>
        </w:tc>
        <w:tc>
          <w:tcPr>
            <w:tcW w:w="1153" w:type="pct"/>
            <w:tcBorders>
              <w:top w:val="nil"/>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rPr>
                <w:color w:val="333333"/>
                <w:sz w:val="16"/>
                <w:szCs w:val="16"/>
              </w:rPr>
            </w:pPr>
            <w:r>
              <w:rPr>
                <w:color w:val="333333"/>
                <w:sz w:val="16"/>
                <w:szCs w:val="16"/>
                <w:bdr w:val="none" w:color="auto" w:sz="0" w:space="0"/>
              </w:rPr>
              <w:t>　</w:t>
            </w:r>
            <w:r>
              <w:rPr>
                <w:rFonts w:hint="eastAsia" w:ascii="宋体" w:hAnsi="宋体" w:eastAsia="宋体" w:cs="宋体"/>
                <w:color w:val="333333"/>
                <w:sz w:val="16"/>
                <w:szCs w:val="16"/>
                <w:bdr w:val="none" w:color="auto" w:sz="0" w:space="0"/>
              </w:rPr>
              <w:t>52367</w:t>
            </w:r>
          </w:p>
        </w:tc>
      </w:tr>
      <w:tr>
        <w:tblPrEx>
          <w:shd w:val="clear"/>
        </w:tblPrEx>
        <w:trPr>
          <w:trHeight w:val="552" w:hRule="atLeast"/>
          <w:jc w:val="center"/>
        </w:trPr>
        <w:tc>
          <w:tcPr>
            <w:tcW w:w="1911" w:type="pct"/>
            <w:tcBorders>
              <w:top w:val="nil"/>
              <w:left w:val="single" w:color="auto" w:sz="4" w:space="0"/>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rPr>
                <w:color w:val="333333"/>
                <w:sz w:val="16"/>
                <w:szCs w:val="16"/>
              </w:rPr>
            </w:pPr>
            <w:r>
              <w:rPr>
                <w:rFonts w:hint="default" w:ascii="Times New Roman" w:hAnsi="Times New Roman" w:cs="Times New Roman"/>
                <w:color w:val="333333"/>
                <w:sz w:val="16"/>
                <w:szCs w:val="16"/>
                <w:bdr w:val="none" w:color="auto" w:sz="0" w:space="0"/>
              </w:rPr>
              <w:t>其他对外管理服务事项</w:t>
            </w:r>
          </w:p>
        </w:tc>
        <w:tc>
          <w:tcPr>
            <w:tcW w:w="1155" w:type="pct"/>
            <w:tcBorders>
              <w:top w:val="nil"/>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rPr>
                <w:color w:val="333333"/>
                <w:sz w:val="16"/>
                <w:szCs w:val="16"/>
              </w:rPr>
            </w:pPr>
            <w:r>
              <w:rPr>
                <w:rFonts w:hint="eastAsia" w:ascii="宋体" w:hAnsi="宋体" w:eastAsia="宋体" w:cs="宋体"/>
                <w:color w:val="333333"/>
                <w:sz w:val="16"/>
                <w:szCs w:val="16"/>
                <w:bdr w:val="none" w:color="auto" w:sz="0" w:space="0"/>
              </w:rPr>
              <w:t>378</w:t>
            </w:r>
          </w:p>
        </w:tc>
        <w:tc>
          <w:tcPr>
            <w:tcW w:w="781" w:type="pct"/>
            <w:tcBorders>
              <w:top w:val="nil"/>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rPr>
                <w:color w:val="333333"/>
                <w:sz w:val="16"/>
                <w:szCs w:val="16"/>
              </w:rPr>
            </w:pPr>
            <w:r>
              <w:rPr>
                <w:color w:val="333333"/>
                <w:sz w:val="16"/>
                <w:szCs w:val="16"/>
                <w:bdr w:val="none" w:color="auto" w:sz="0" w:space="0"/>
              </w:rPr>
              <w:t>　</w:t>
            </w:r>
            <w:r>
              <w:rPr>
                <w:rFonts w:hint="eastAsia" w:ascii="宋体" w:hAnsi="宋体" w:eastAsia="宋体" w:cs="宋体"/>
                <w:color w:val="333333"/>
                <w:sz w:val="16"/>
                <w:szCs w:val="16"/>
                <w:bdr w:val="none" w:color="auto" w:sz="0" w:space="0"/>
              </w:rPr>
              <w:t>0</w:t>
            </w:r>
          </w:p>
        </w:tc>
        <w:tc>
          <w:tcPr>
            <w:tcW w:w="1153" w:type="pct"/>
            <w:tcBorders>
              <w:top w:val="nil"/>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rPr>
                <w:color w:val="333333"/>
                <w:sz w:val="16"/>
                <w:szCs w:val="16"/>
              </w:rPr>
            </w:pPr>
            <w:r>
              <w:rPr>
                <w:color w:val="333333"/>
                <w:sz w:val="16"/>
                <w:szCs w:val="16"/>
                <w:bdr w:val="none" w:color="auto" w:sz="0" w:space="0"/>
              </w:rPr>
              <w:t>　</w:t>
            </w:r>
            <w:r>
              <w:rPr>
                <w:rFonts w:hint="eastAsia" w:ascii="宋体" w:hAnsi="宋体" w:eastAsia="宋体" w:cs="宋体"/>
                <w:color w:val="333333"/>
                <w:sz w:val="16"/>
                <w:szCs w:val="16"/>
                <w:bdr w:val="none" w:color="auto" w:sz="0" w:space="0"/>
              </w:rPr>
              <w:t>17187</w:t>
            </w:r>
          </w:p>
        </w:tc>
      </w:tr>
      <w:tr>
        <w:tblPrEx>
          <w:shd w:val="clear"/>
          <w:tblCellMar>
            <w:top w:w="0" w:type="dxa"/>
            <w:left w:w="0" w:type="dxa"/>
            <w:bottom w:w="0" w:type="dxa"/>
            <w:right w:w="0" w:type="dxa"/>
          </w:tblCellMar>
        </w:tblPrEx>
        <w:trPr>
          <w:trHeight w:val="540" w:hRule="atLeast"/>
          <w:jc w:val="center"/>
        </w:trPr>
        <w:tc>
          <w:tcPr>
            <w:tcW w:w="5000" w:type="pct"/>
            <w:gridSpan w:val="4"/>
            <w:tcBorders>
              <w:top w:val="nil"/>
              <w:left w:val="single" w:color="auto" w:sz="4" w:space="0"/>
              <w:bottom w:val="single" w:color="auto" w:sz="4" w:space="0"/>
              <w:right w:val="single" w:color="auto" w:sz="4" w:space="0"/>
            </w:tcBorders>
            <w:shd w:val="clear" w:color="auto" w:fill="C6D9F1"/>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jc w:val="center"/>
              <w:rPr>
                <w:color w:val="333333"/>
                <w:sz w:val="16"/>
                <w:szCs w:val="16"/>
              </w:rPr>
            </w:pPr>
            <w:r>
              <w:rPr>
                <w:rFonts w:hint="default" w:ascii="Times New Roman" w:hAnsi="Times New Roman" w:cs="Times New Roman"/>
                <w:color w:val="333333"/>
                <w:sz w:val="16"/>
                <w:szCs w:val="16"/>
                <w:bdr w:val="none" w:color="auto" w:sz="0" w:space="0"/>
              </w:rPr>
              <w:t>第二十条第（六）项</w:t>
            </w:r>
          </w:p>
        </w:tc>
      </w:tr>
      <w:tr>
        <w:tblPrEx>
          <w:shd w:val="clear"/>
          <w:tblCellMar>
            <w:top w:w="0" w:type="dxa"/>
            <w:left w:w="0" w:type="dxa"/>
            <w:bottom w:w="0" w:type="dxa"/>
            <w:right w:w="0" w:type="dxa"/>
          </w:tblCellMar>
        </w:tblPrEx>
        <w:trPr>
          <w:trHeight w:val="504" w:hRule="atLeast"/>
          <w:jc w:val="center"/>
        </w:trPr>
        <w:tc>
          <w:tcPr>
            <w:tcW w:w="1911" w:type="pct"/>
            <w:tcBorders>
              <w:top w:val="nil"/>
              <w:left w:val="single" w:color="auto" w:sz="4" w:space="0"/>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jc w:val="center"/>
              <w:rPr>
                <w:color w:val="333333"/>
                <w:sz w:val="16"/>
                <w:szCs w:val="16"/>
              </w:rPr>
            </w:pPr>
            <w:r>
              <w:rPr>
                <w:rFonts w:hint="default" w:ascii="Times New Roman" w:hAnsi="Times New Roman" w:cs="Times New Roman"/>
                <w:color w:val="333333"/>
                <w:sz w:val="16"/>
                <w:szCs w:val="16"/>
                <w:bdr w:val="none" w:color="auto" w:sz="0" w:space="0"/>
              </w:rPr>
              <w:t>信息内容</w:t>
            </w:r>
          </w:p>
        </w:tc>
        <w:tc>
          <w:tcPr>
            <w:tcW w:w="1155" w:type="pct"/>
            <w:tcBorders>
              <w:top w:val="single" w:color="auto" w:sz="4" w:space="0"/>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jc w:val="center"/>
              <w:rPr>
                <w:color w:val="333333"/>
                <w:sz w:val="16"/>
                <w:szCs w:val="16"/>
              </w:rPr>
            </w:pPr>
            <w:r>
              <w:rPr>
                <w:rFonts w:hint="default" w:ascii="Times New Roman" w:hAnsi="Times New Roman" w:cs="Times New Roman"/>
                <w:color w:val="333333"/>
                <w:sz w:val="16"/>
                <w:szCs w:val="16"/>
                <w:bdr w:val="none" w:color="auto" w:sz="0" w:space="0"/>
              </w:rPr>
              <w:t>上一年项目数量</w:t>
            </w:r>
          </w:p>
        </w:tc>
        <w:tc>
          <w:tcPr>
            <w:tcW w:w="781" w:type="pct"/>
            <w:tcBorders>
              <w:top w:val="single" w:color="auto" w:sz="4" w:space="0"/>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jc w:val="center"/>
              <w:rPr>
                <w:color w:val="333333"/>
                <w:sz w:val="16"/>
                <w:szCs w:val="16"/>
              </w:rPr>
            </w:pPr>
            <w:r>
              <w:rPr>
                <w:rFonts w:hint="default" w:ascii="Times New Roman" w:hAnsi="Times New Roman" w:cs="Times New Roman"/>
                <w:color w:val="333333"/>
                <w:sz w:val="16"/>
                <w:szCs w:val="16"/>
                <w:bdr w:val="none" w:color="auto" w:sz="0" w:space="0"/>
              </w:rPr>
              <w:t>本年增/</w:t>
            </w:r>
            <w:r>
              <w:rPr>
                <w:rFonts w:hint="eastAsia" w:ascii="宋体" w:hAnsi="宋体" w:eastAsia="宋体" w:cs="宋体"/>
                <w:color w:val="333333"/>
                <w:sz w:val="16"/>
                <w:szCs w:val="16"/>
                <w:bdr w:val="none" w:color="auto" w:sz="0" w:space="0"/>
              </w:rPr>
              <w:t>减</w:t>
            </w:r>
          </w:p>
        </w:tc>
        <w:tc>
          <w:tcPr>
            <w:tcW w:w="1153" w:type="pct"/>
            <w:tcBorders>
              <w:top w:val="nil"/>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jc w:val="center"/>
              <w:rPr>
                <w:color w:val="333333"/>
                <w:sz w:val="16"/>
                <w:szCs w:val="16"/>
              </w:rPr>
            </w:pPr>
            <w:r>
              <w:rPr>
                <w:rFonts w:hint="default" w:ascii="Times New Roman" w:hAnsi="Times New Roman" w:cs="Times New Roman"/>
                <w:color w:val="333333"/>
                <w:sz w:val="16"/>
                <w:szCs w:val="16"/>
                <w:bdr w:val="none" w:color="auto" w:sz="0" w:space="0"/>
              </w:rPr>
              <w:t>处理决定数量</w:t>
            </w:r>
          </w:p>
        </w:tc>
      </w:tr>
      <w:tr>
        <w:tblPrEx>
          <w:shd w:val="clear"/>
          <w:tblCellMar>
            <w:top w:w="0" w:type="dxa"/>
            <w:left w:w="0" w:type="dxa"/>
            <w:bottom w:w="0" w:type="dxa"/>
            <w:right w:w="0" w:type="dxa"/>
          </w:tblCellMar>
        </w:tblPrEx>
        <w:trPr>
          <w:trHeight w:val="612" w:hRule="atLeast"/>
          <w:jc w:val="center"/>
        </w:trPr>
        <w:tc>
          <w:tcPr>
            <w:tcW w:w="1911" w:type="pct"/>
            <w:tcBorders>
              <w:top w:val="nil"/>
              <w:left w:val="single" w:color="auto" w:sz="4" w:space="0"/>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rPr>
                <w:color w:val="333333"/>
                <w:sz w:val="16"/>
                <w:szCs w:val="16"/>
              </w:rPr>
            </w:pPr>
            <w:r>
              <w:rPr>
                <w:rFonts w:hint="default" w:ascii="Times New Roman" w:hAnsi="Times New Roman" w:cs="Times New Roman"/>
                <w:color w:val="333333"/>
                <w:sz w:val="16"/>
                <w:szCs w:val="16"/>
                <w:bdr w:val="none" w:color="auto" w:sz="0" w:space="0"/>
              </w:rPr>
              <w:t>行政处罚</w:t>
            </w:r>
          </w:p>
        </w:tc>
        <w:tc>
          <w:tcPr>
            <w:tcW w:w="1155" w:type="pct"/>
            <w:tcBorders>
              <w:top w:val="nil"/>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rPr>
                <w:color w:val="333333"/>
                <w:sz w:val="16"/>
                <w:szCs w:val="16"/>
              </w:rPr>
            </w:pPr>
            <w:r>
              <w:rPr>
                <w:rFonts w:hint="eastAsia" w:ascii="宋体" w:hAnsi="宋体" w:eastAsia="宋体" w:cs="宋体"/>
                <w:color w:val="333333"/>
                <w:sz w:val="16"/>
                <w:szCs w:val="16"/>
                <w:bdr w:val="none" w:color="auto" w:sz="0" w:space="0"/>
              </w:rPr>
              <w:t>545</w:t>
            </w:r>
          </w:p>
        </w:tc>
        <w:tc>
          <w:tcPr>
            <w:tcW w:w="781" w:type="pct"/>
            <w:tcBorders>
              <w:top w:val="nil"/>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rPr>
                <w:color w:val="333333"/>
                <w:sz w:val="16"/>
                <w:szCs w:val="16"/>
              </w:rPr>
            </w:pPr>
            <w:r>
              <w:rPr>
                <w:color w:val="333333"/>
                <w:sz w:val="16"/>
                <w:szCs w:val="16"/>
                <w:bdr w:val="none" w:color="auto" w:sz="0" w:space="0"/>
              </w:rPr>
              <w:t>　</w:t>
            </w:r>
            <w:r>
              <w:rPr>
                <w:rFonts w:hint="eastAsia" w:ascii="宋体" w:hAnsi="宋体" w:eastAsia="宋体" w:cs="宋体"/>
                <w:color w:val="333333"/>
                <w:sz w:val="16"/>
                <w:szCs w:val="16"/>
                <w:bdr w:val="none" w:color="auto" w:sz="0" w:space="0"/>
              </w:rPr>
              <w:t>0</w:t>
            </w:r>
          </w:p>
        </w:tc>
        <w:tc>
          <w:tcPr>
            <w:tcW w:w="1153" w:type="pct"/>
            <w:tcBorders>
              <w:top w:val="nil"/>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rPr>
                <w:color w:val="333333"/>
                <w:sz w:val="16"/>
                <w:szCs w:val="16"/>
              </w:rPr>
            </w:pPr>
            <w:r>
              <w:rPr>
                <w:color w:val="333333"/>
                <w:sz w:val="16"/>
                <w:szCs w:val="16"/>
                <w:bdr w:val="none" w:color="auto" w:sz="0" w:space="0"/>
              </w:rPr>
              <w:t>　</w:t>
            </w:r>
            <w:r>
              <w:rPr>
                <w:rFonts w:hint="eastAsia" w:ascii="宋体" w:hAnsi="宋体" w:eastAsia="宋体" w:cs="宋体"/>
                <w:color w:val="333333"/>
                <w:sz w:val="16"/>
                <w:szCs w:val="16"/>
                <w:bdr w:val="none" w:color="auto" w:sz="0" w:space="0"/>
              </w:rPr>
              <w:t>1056</w:t>
            </w:r>
          </w:p>
        </w:tc>
      </w:tr>
      <w:tr>
        <w:tblPrEx>
          <w:shd w:val="clear"/>
          <w:tblCellMar>
            <w:top w:w="0" w:type="dxa"/>
            <w:left w:w="0" w:type="dxa"/>
            <w:bottom w:w="0" w:type="dxa"/>
            <w:right w:w="0" w:type="dxa"/>
          </w:tblCellMar>
        </w:tblPrEx>
        <w:trPr>
          <w:trHeight w:val="540" w:hRule="atLeast"/>
          <w:jc w:val="center"/>
        </w:trPr>
        <w:tc>
          <w:tcPr>
            <w:tcW w:w="1911" w:type="pct"/>
            <w:tcBorders>
              <w:top w:val="nil"/>
              <w:left w:val="single" w:color="auto" w:sz="4" w:space="0"/>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rPr>
                <w:color w:val="333333"/>
                <w:sz w:val="16"/>
                <w:szCs w:val="16"/>
              </w:rPr>
            </w:pPr>
            <w:r>
              <w:rPr>
                <w:rFonts w:hint="default" w:ascii="Times New Roman" w:hAnsi="Times New Roman" w:cs="Times New Roman"/>
                <w:color w:val="333333"/>
                <w:sz w:val="16"/>
                <w:szCs w:val="16"/>
                <w:bdr w:val="none" w:color="auto" w:sz="0" w:space="0"/>
              </w:rPr>
              <w:t>行政强制</w:t>
            </w:r>
          </w:p>
        </w:tc>
        <w:tc>
          <w:tcPr>
            <w:tcW w:w="1155" w:type="pct"/>
            <w:tcBorders>
              <w:top w:val="nil"/>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rPr>
                <w:color w:val="333333"/>
                <w:sz w:val="16"/>
                <w:szCs w:val="16"/>
              </w:rPr>
            </w:pPr>
            <w:r>
              <w:rPr>
                <w:rFonts w:hint="eastAsia" w:ascii="宋体" w:hAnsi="宋体" w:eastAsia="宋体" w:cs="宋体"/>
                <w:color w:val="333333"/>
                <w:sz w:val="16"/>
                <w:szCs w:val="16"/>
                <w:bdr w:val="none" w:color="auto" w:sz="0" w:space="0"/>
              </w:rPr>
              <w:t>49</w:t>
            </w:r>
          </w:p>
        </w:tc>
        <w:tc>
          <w:tcPr>
            <w:tcW w:w="781" w:type="pct"/>
            <w:tcBorders>
              <w:top w:val="nil"/>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rPr>
                <w:color w:val="333333"/>
                <w:sz w:val="16"/>
                <w:szCs w:val="16"/>
              </w:rPr>
            </w:pPr>
            <w:r>
              <w:rPr>
                <w:rFonts w:hint="eastAsia" w:ascii="宋体" w:hAnsi="宋体" w:eastAsia="宋体" w:cs="宋体"/>
                <w:color w:val="333333"/>
                <w:sz w:val="16"/>
                <w:szCs w:val="16"/>
                <w:bdr w:val="none" w:color="auto" w:sz="0" w:space="0"/>
              </w:rPr>
              <w:t>0</w:t>
            </w:r>
          </w:p>
        </w:tc>
        <w:tc>
          <w:tcPr>
            <w:tcW w:w="1153" w:type="pct"/>
            <w:tcBorders>
              <w:top w:val="nil"/>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rPr>
                <w:color w:val="333333"/>
                <w:sz w:val="16"/>
                <w:szCs w:val="16"/>
              </w:rPr>
            </w:pPr>
            <w:r>
              <w:rPr>
                <w:color w:val="333333"/>
                <w:sz w:val="16"/>
                <w:szCs w:val="16"/>
                <w:bdr w:val="none" w:color="auto" w:sz="0" w:space="0"/>
              </w:rPr>
              <w:t>　</w:t>
            </w:r>
            <w:r>
              <w:rPr>
                <w:rFonts w:hint="eastAsia" w:ascii="宋体" w:hAnsi="宋体" w:eastAsia="宋体" w:cs="宋体"/>
                <w:color w:val="333333"/>
                <w:sz w:val="16"/>
                <w:szCs w:val="16"/>
                <w:bdr w:val="none" w:color="auto" w:sz="0" w:space="0"/>
              </w:rPr>
              <w:t>56</w:t>
            </w:r>
          </w:p>
        </w:tc>
      </w:tr>
      <w:tr>
        <w:tblPrEx>
          <w:shd w:val="clear"/>
          <w:tblCellMar>
            <w:top w:w="0" w:type="dxa"/>
            <w:left w:w="0" w:type="dxa"/>
            <w:bottom w:w="0" w:type="dxa"/>
            <w:right w:w="0" w:type="dxa"/>
          </w:tblCellMar>
        </w:tblPrEx>
        <w:trPr>
          <w:trHeight w:val="384" w:hRule="atLeast"/>
          <w:jc w:val="center"/>
        </w:trPr>
        <w:tc>
          <w:tcPr>
            <w:tcW w:w="5000" w:type="pct"/>
            <w:gridSpan w:val="4"/>
            <w:tcBorders>
              <w:top w:val="nil"/>
              <w:left w:val="single" w:color="auto" w:sz="4" w:space="0"/>
              <w:bottom w:val="single" w:color="auto" w:sz="4" w:space="0"/>
              <w:right w:val="single" w:color="auto" w:sz="4" w:space="0"/>
            </w:tcBorders>
            <w:shd w:val="clear" w:color="auto" w:fill="C6D9F1"/>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jc w:val="center"/>
              <w:rPr>
                <w:color w:val="333333"/>
                <w:sz w:val="16"/>
                <w:szCs w:val="16"/>
              </w:rPr>
            </w:pPr>
            <w:r>
              <w:rPr>
                <w:rFonts w:hint="default" w:ascii="Times New Roman" w:hAnsi="Times New Roman" w:cs="Times New Roman"/>
                <w:color w:val="333333"/>
                <w:sz w:val="16"/>
                <w:szCs w:val="16"/>
                <w:bdr w:val="none" w:color="auto" w:sz="0" w:space="0"/>
              </w:rPr>
              <w:t>第二十条第（八）项</w:t>
            </w:r>
          </w:p>
        </w:tc>
      </w:tr>
      <w:tr>
        <w:tblPrEx>
          <w:shd w:val="clear"/>
          <w:tblCellMar>
            <w:top w:w="0" w:type="dxa"/>
            <w:left w:w="0" w:type="dxa"/>
            <w:bottom w:w="0" w:type="dxa"/>
            <w:right w:w="0" w:type="dxa"/>
          </w:tblCellMar>
        </w:tblPrEx>
        <w:trPr>
          <w:trHeight w:val="216" w:hRule="atLeast"/>
          <w:jc w:val="center"/>
        </w:trPr>
        <w:tc>
          <w:tcPr>
            <w:tcW w:w="1911" w:type="pct"/>
            <w:tcBorders>
              <w:top w:val="nil"/>
              <w:left w:val="single" w:color="auto" w:sz="4" w:space="0"/>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jc w:val="center"/>
              <w:rPr>
                <w:color w:val="333333"/>
                <w:sz w:val="16"/>
                <w:szCs w:val="16"/>
              </w:rPr>
            </w:pPr>
            <w:r>
              <w:rPr>
                <w:rFonts w:hint="default" w:ascii="Times New Roman" w:hAnsi="Times New Roman" w:cs="Times New Roman"/>
                <w:color w:val="333333"/>
                <w:sz w:val="16"/>
                <w:szCs w:val="16"/>
                <w:bdr w:val="none" w:color="auto" w:sz="0" w:space="0"/>
              </w:rPr>
              <w:t>信息内容</w:t>
            </w:r>
          </w:p>
        </w:tc>
        <w:tc>
          <w:tcPr>
            <w:tcW w:w="1155" w:type="pct"/>
            <w:tcBorders>
              <w:top w:val="nil"/>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rPr>
                <w:color w:val="333333"/>
                <w:sz w:val="16"/>
                <w:szCs w:val="16"/>
              </w:rPr>
            </w:pPr>
            <w:r>
              <w:rPr>
                <w:rFonts w:hint="default" w:ascii="Times New Roman" w:hAnsi="Times New Roman" w:cs="Times New Roman"/>
                <w:color w:val="333333"/>
                <w:sz w:val="16"/>
                <w:szCs w:val="16"/>
                <w:bdr w:val="none" w:color="auto" w:sz="0" w:space="0"/>
              </w:rPr>
              <w:t>上一年项目数量</w:t>
            </w:r>
          </w:p>
        </w:tc>
        <w:tc>
          <w:tcPr>
            <w:tcW w:w="1933" w:type="pct"/>
            <w:gridSpan w:val="2"/>
            <w:tcBorders>
              <w:top w:val="single" w:color="auto" w:sz="4" w:space="0"/>
              <w:left w:val="nil"/>
              <w:bottom w:val="single" w:color="auto"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jc w:val="center"/>
              <w:rPr>
                <w:color w:val="333333"/>
                <w:sz w:val="16"/>
                <w:szCs w:val="16"/>
              </w:rPr>
            </w:pPr>
            <w:r>
              <w:rPr>
                <w:rFonts w:hint="default" w:ascii="Times New Roman" w:hAnsi="Times New Roman" w:cs="Times New Roman"/>
                <w:color w:val="333333"/>
                <w:sz w:val="16"/>
                <w:szCs w:val="16"/>
                <w:bdr w:val="none" w:color="auto" w:sz="0" w:space="0"/>
              </w:rPr>
              <w:t>本年增/</w:t>
            </w:r>
            <w:r>
              <w:rPr>
                <w:rFonts w:hint="eastAsia" w:ascii="宋体" w:hAnsi="宋体" w:eastAsia="宋体" w:cs="宋体"/>
                <w:color w:val="333333"/>
                <w:sz w:val="16"/>
                <w:szCs w:val="16"/>
                <w:bdr w:val="none" w:color="auto" w:sz="0" w:space="0"/>
              </w:rPr>
              <w:t>减</w:t>
            </w:r>
          </w:p>
        </w:tc>
      </w:tr>
      <w:tr>
        <w:tblPrEx>
          <w:shd w:val="clear"/>
          <w:tblCellMar>
            <w:top w:w="0" w:type="dxa"/>
            <w:left w:w="0" w:type="dxa"/>
            <w:bottom w:w="0" w:type="dxa"/>
            <w:right w:w="0" w:type="dxa"/>
          </w:tblCellMar>
        </w:tblPrEx>
        <w:trPr>
          <w:trHeight w:val="444" w:hRule="atLeast"/>
          <w:jc w:val="center"/>
        </w:trPr>
        <w:tc>
          <w:tcPr>
            <w:tcW w:w="1911" w:type="pct"/>
            <w:tcBorders>
              <w:top w:val="nil"/>
              <w:left w:val="single" w:color="auto" w:sz="4" w:space="0"/>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rPr>
                <w:color w:val="333333"/>
                <w:sz w:val="16"/>
                <w:szCs w:val="16"/>
              </w:rPr>
            </w:pPr>
            <w:r>
              <w:rPr>
                <w:rFonts w:hint="default" w:ascii="Times New Roman" w:hAnsi="Times New Roman" w:cs="Times New Roman"/>
                <w:color w:val="333333"/>
                <w:sz w:val="16"/>
                <w:szCs w:val="16"/>
                <w:bdr w:val="none" w:color="auto" w:sz="0" w:space="0"/>
              </w:rPr>
              <w:t>行政事业性收费</w:t>
            </w:r>
          </w:p>
        </w:tc>
        <w:tc>
          <w:tcPr>
            <w:tcW w:w="1155" w:type="pct"/>
            <w:tcBorders>
              <w:top w:val="nil"/>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rPr>
                <w:color w:val="333333"/>
                <w:sz w:val="16"/>
                <w:szCs w:val="16"/>
              </w:rPr>
            </w:pPr>
            <w:r>
              <w:rPr>
                <w:color w:val="333333"/>
                <w:sz w:val="16"/>
                <w:szCs w:val="16"/>
                <w:bdr w:val="none" w:color="auto" w:sz="0" w:space="0"/>
              </w:rPr>
              <w:t>　</w:t>
            </w:r>
            <w:r>
              <w:rPr>
                <w:rFonts w:hint="eastAsia" w:ascii="宋体" w:hAnsi="宋体" w:eastAsia="宋体" w:cs="宋体"/>
                <w:color w:val="333333"/>
                <w:sz w:val="16"/>
                <w:szCs w:val="16"/>
                <w:bdr w:val="none" w:color="auto" w:sz="0" w:space="0"/>
              </w:rPr>
              <w:t>44</w:t>
            </w:r>
          </w:p>
        </w:tc>
        <w:tc>
          <w:tcPr>
            <w:tcW w:w="1933" w:type="pct"/>
            <w:gridSpan w:val="2"/>
            <w:tcBorders>
              <w:top w:val="nil"/>
              <w:left w:val="nil"/>
              <w:bottom w:val="single" w:color="auto"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jc w:val="center"/>
              <w:rPr>
                <w:color w:val="333333"/>
                <w:sz w:val="16"/>
                <w:szCs w:val="16"/>
              </w:rPr>
            </w:pPr>
            <w:r>
              <w:rPr>
                <w:rFonts w:hint="eastAsia" w:ascii="宋体" w:hAnsi="宋体" w:eastAsia="宋体" w:cs="宋体"/>
                <w:color w:val="333333"/>
                <w:sz w:val="16"/>
                <w:szCs w:val="16"/>
                <w:bdr w:val="none" w:color="auto" w:sz="0" w:space="0"/>
              </w:rPr>
              <w:t>-3</w:t>
            </w:r>
          </w:p>
        </w:tc>
      </w:tr>
      <w:tr>
        <w:tblPrEx>
          <w:shd w:val="clear"/>
          <w:tblCellMar>
            <w:top w:w="0" w:type="dxa"/>
            <w:left w:w="0" w:type="dxa"/>
            <w:bottom w:w="0" w:type="dxa"/>
            <w:right w:w="0" w:type="dxa"/>
          </w:tblCellMar>
        </w:tblPrEx>
        <w:trPr>
          <w:trHeight w:val="384" w:hRule="atLeast"/>
          <w:jc w:val="center"/>
        </w:trPr>
        <w:tc>
          <w:tcPr>
            <w:tcW w:w="5000" w:type="pct"/>
            <w:gridSpan w:val="4"/>
            <w:tcBorders>
              <w:top w:val="nil"/>
              <w:left w:val="single" w:color="auto" w:sz="4" w:space="0"/>
              <w:bottom w:val="single" w:color="auto" w:sz="4" w:space="0"/>
              <w:right w:val="single" w:color="auto" w:sz="4" w:space="0"/>
            </w:tcBorders>
            <w:shd w:val="clear" w:color="auto" w:fill="C6D9F1"/>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jc w:val="center"/>
              <w:rPr>
                <w:color w:val="333333"/>
                <w:sz w:val="16"/>
                <w:szCs w:val="16"/>
              </w:rPr>
            </w:pPr>
            <w:r>
              <w:rPr>
                <w:rFonts w:hint="default" w:ascii="Times New Roman" w:hAnsi="Times New Roman" w:cs="Times New Roman"/>
                <w:color w:val="333333"/>
                <w:sz w:val="16"/>
                <w:szCs w:val="16"/>
                <w:bdr w:val="none" w:color="auto" w:sz="0" w:space="0"/>
              </w:rPr>
              <w:t>第二十条第（九）项</w:t>
            </w:r>
          </w:p>
        </w:tc>
      </w:tr>
      <w:tr>
        <w:tblPrEx>
          <w:shd w:val="clear"/>
          <w:tblCellMar>
            <w:top w:w="0" w:type="dxa"/>
            <w:left w:w="0" w:type="dxa"/>
            <w:bottom w:w="0" w:type="dxa"/>
            <w:right w:w="0" w:type="dxa"/>
          </w:tblCellMar>
        </w:tblPrEx>
        <w:trPr>
          <w:trHeight w:val="468" w:hRule="atLeast"/>
          <w:jc w:val="center"/>
        </w:trPr>
        <w:tc>
          <w:tcPr>
            <w:tcW w:w="1911" w:type="pct"/>
            <w:tcBorders>
              <w:top w:val="nil"/>
              <w:left w:val="single" w:color="auto" w:sz="4" w:space="0"/>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jc w:val="center"/>
              <w:rPr>
                <w:color w:val="333333"/>
                <w:sz w:val="16"/>
                <w:szCs w:val="16"/>
              </w:rPr>
            </w:pPr>
            <w:r>
              <w:rPr>
                <w:rFonts w:hint="default" w:ascii="Times New Roman" w:hAnsi="Times New Roman" w:cs="Times New Roman"/>
                <w:color w:val="333333"/>
                <w:sz w:val="16"/>
                <w:szCs w:val="16"/>
                <w:bdr w:val="none" w:color="auto" w:sz="0" w:space="0"/>
              </w:rPr>
              <w:t>信息内容</w:t>
            </w:r>
          </w:p>
        </w:tc>
        <w:tc>
          <w:tcPr>
            <w:tcW w:w="1155" w:type="pct"/>
            <w:tcBorders>
              <w:top w:val="nil"/>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jc w:val="center"/>
              <w:rPr>
                <w:color w:val="333333"/>
                <w:sz w:val="16"/>
                <w:szCs w:val="16"/>
              </w:rPr>
            </w:pPr>
            <w:r>
              <w:rPr>
                <w:rFonts w:hint="default" w:ascii="Times New Roman" w:hAnsi="Times New Roman" w:cs="Times New Roman"/>
                <w:color w:val="333333"/>
                <w:sz w:val="16"/>
                <w:szCs w:val="16"/>
                <w:bdr w:val="none" w:color="auto" w:sz="0" w:space="0"/>
              </w:rPr>
              <w:t>采购项目数量</w:t>
            </w:r>
          </w:p>
        </w:tc>
        <w:tc>
          <w:tcPr>
            <w:tcW w:w="1933" w:type="pct"/>
            <w:gridSpan w:val="2"/>
            <w:tcBorders>
              <w:top w:val="single" w:color="auto" w:sz="4" w:space="0"/>
              <w:left w:val="nil"/>
              <w:bottom w:val="single" w:color="auto"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jc w:val="center"/>
              <w:rPr>
                <w:color w:val="333333"/>
                <w:sz w:val="16"/>
                <w:szCs w:val="16"/>
              </w:rPr>
            </w:pPr>
            <w:r>
              <w:rPr>
                <w:rFonts w:hint="default" w:ascii="Times New Roman" w:hAnsi="Times New Roman" w:cs="Times New Roman"/>
                <w:color w:val="333333"/>
                <w:sz w:val="16"/>
                <w:szCs w:val="16"/>
                <w:bdr w:val="none" w:color="auto" w:sz="0" w:space="0"/>
              </w:rPr>
              <w:t>采购总金额</w:t>
            </w:r>
          </w:p>
        </w:tc>
      </w:tr>
      <w:tr>
        <w:tblPrEx>
          <w:shd w:val="clear"/>
          <w:tblCellMar>
            <w:top w:w="0" w:type="dxa"/>
            <w:left w:w="0" w:type="dxa"/>
            <w:bottom w:w="0" w:type="dxa"/>
            <w:right w:w="0" w:type="dxa"/>
          </w:tblCellMar>
        </w:tblPrEx>
        <w:trPr>
          <w:trHeight w:val="432" w:hRule="atLeast"/>
          <w:jc w:val="center"/>
        </w:trPr>
        <w:tc>
          <w:tcPr>
            <w:tcW w:w="1911" w:type="pct"/>
            <w:tcBorders>
              <w:top w:val="nil"/>
              <w:left w:val="single" w:color="auto" w:sz="4" w:space="0"/>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rPr>
                <w:color w:val="333333"/>
                <w:sz w:val="16"/>
                <w:szCs w:val="16"/>
              </w:rPr>
            </w:pPr>
            <w:r>
              <w:rPr>
                <w:rFonts w:hint="default" w:ascii="Times New Roman" w:hAnsi="Times New Roman" w:cs="Times New Roman"/>
                <w:color w:val="333333"/>
                <w:sz w:val="16"/>
                <w:szCs w:val="16"/>
                <w:bdr w:val="none" w:color="auto" w:sz="0" w:space="0"/>
              </w:rPr>
              <w:t>政府集中采购</w:t>
            </w:r>
          </w:p>
        </w:tc>
        <w:tc>
          <w:tcPr>
            <w:tcW w:w="1155" w:type="pct"/>
            <w:tcBorders>
              <w:top w:val="nil"/>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rPr>
                <w:color w:val="333333"/>
                <w:sz w:val="16"/>
                <w:szCs w:val="16"/>
              </w:rPr>
            </w:pPr>
            <w:r>
              <w:rPr>
                <w:color w:val="333333"/>
                <w:sz w:val="16"/>
                <w:szCs w:val="16"/>
                <w:bdr w:val="none" w:color="auto" w:sz="0" w:space="0"/>
              </w:rPr>
              <w:t>　</w:t>
            </w:r>
            <w:r>
              <w:rPr>
                <w:rFonts w:hint="eastAsia" w:ascii="宋体" w:hAnsi="宋体" w:eastAsia="宋体" w:cs="宋体"/>
                <w:color w:val="333333"/>
                <w:sz w:val="16"/>
                <w:szCs w:val="16"/>
                <w:bdr w:val="none" w:color="auto" w:sz="0" w:space="0"/>
              </w:rPr>
              <w:t>421</w:t>
            </w:r>
          </w:p>
        </w:tc>
        <w:tc>
          <w:tcPr>
            <w:tcW w:w="1933" w:type="pct"/>
            <w:gridSpan w:val="2"/>
            <w:tcBorders>
              <w:top w:val="nil"/>
              <w:left w:val="nil"/>
              <w:bottom w:val="single" w:color="auto"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color w:val="333333"/>
                <w:sz w:val="16"/>
                <w:szCs w:val="16"/>
              </w:rPr>
            </w:pPr>
            <w:r>
              <w:rPr>
                <w:rFonts w:hint="eastAsia" w:ascii="宋体" w:hAnsi="宋体" w:eastAsia="宋体" w:cs="宋体"/>
                <w:color w:val="333333"/>
                <w:sz w:val="16"/>
                <w:szCs w:val="16"/>
                <w:bdr w:val="none" w:color="auto" w:sz="0" w:space="0"/>
              </w:rPr>
              <w:t>15.52亿元</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both"/>
        <w:rPr>
          <w:rFonts w:hint="eastAsia" w:ascii="微软雅黑" w:hAnsi="微软雅黑" w:eastAsia="微软雅黑" w:cs="微软雅黑"/>
          <w:i w:val="0"/>
          <w:caps w:val="0"/>
          <w:color w:val="333333"/>
          <w:spacing w:val="0"/>
          <w:sz w:val="27"/>
          <w:szCs w:val="27"/>
        </w:rPr>
      </w:pPr>
      <w:r>
        <w:rPr>
          <w:rFonts w:hint="eastAsia" w:ascii="黑体" w:hAnsi="宋体" w:eastAsia="黑体" w:cs="黑体"/>
          <w:i w:val="0"/>
          <w:caps w:val="0"/>
          <w:color w:val="333333"/>
          <w:spacing w:val="0"/>
          <w:sz w:val="25"/>
          <w:szCs w:val="25"/>
          <w:bdr w:val="none" w:color="auto" w:sz="0" w:space="0"/>
          <w:shd w:val="clear" w:fill="FFFFFF"/>
        </w:rPr>
        <w:t>三、收到和处理政府信息公开申请情况</w:t>
      </w:r>
    </w:p>
    <w:tbl>
      <w:tblPr>
        <w:tblW w:w="5000" w:type="pct"/>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08"/>
        <w:gridCol w:w="1068"/>
        <w:gridCol w:w="1260"/>
        <w:gridCol w:w="748"/>
        <w:gridCol w:w="748"/>
        <w:gridCol w:w="748"/>
        <w:gridCol w:w="748"/>
        <w:gridCol w:w="748"/>
        <w:gridCol w:w="749"/>
        <w:gridCol w:w="74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184" w:type="pct"/>
            <w:gridSpan w:val="3"/>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jc w:val="center"/>
              <w:rPr>
                <w:color w:val="333333"/>
                <w:sz w:val="16"/>
                <w:szCs w:val="16"/>
              </w:rPr>
            </w:pPr>
            <w:r>
              <w:rPr>
                <w:rFonts w:hint="default" w:ascii="Times New Roman" w:hAnsi="Times New Roman" w:cs="Times New Roman"/>
                <w:color w:val="333333"/>
                <w:sz w:val="16"/>
                <w:szCs w:val="16"/>
                <w:bdr w:val="none" w:color="auto" w:sz="0" w:space="0"/>
              </w:rPr>
              <w:t>（本列数据的勾稽关系为：第一项加第二项之和，等于第三项加第四项之和）</w:t>
            </w:r>
          </w:p>
        </w:tc>
        <w:tc>
          <w:tcPr>
            <w:tcW w:w="2816" w:type="pct"/>
            <w:gridSpan w:val="7"/>
            <w:tcBorders>
              <w:top w:val="single" w:color="auto" w:sz="4" w:space="0"/>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jc w:val="center"/>
              <w:rPr>
                <w:color w:val="333333"/>
                <w:sz w:val="16"/>
                <w:szCs w:val="16"/>
              </w:rPr>
            </w:pPr>
            <w:r>
              <w:rPr>
                <w:rFonts w:hint="default" w:ascii="Times New Roman" w:hAnsi="Times New Roman" w:cs="Times New Roman"/>
                <w:color w:val="333333"/>
                <w:sz w:val="16"/>
                <w:szCs w:val="16"/>
                <w:bdr w:val="none" w:color="auto" w:sz="0" w:space="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184" w:type="pct"/>
            <w:gridSpan w:val="3"/>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333" w:type="pct"/>
            <w:vMerge w:val="restart"/>
            <w:tcBorders>
              <w:top w:val="nil"/>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jc w:val="center"/>
              <w:rPr>
                <w:color w:val="333333"/>
                <w:sz w:val="16"/>
                <w:szCs w:val="16"/>
              </w:rPr>
            </w:pPr>
            <w:r>
              <w:rPr>
                <w:rFonts w:hint="default" w:ascii="Times New Roman" w:hAnsi="Times New Roman" w:cs="Times New Roman"/>
                <w:color w:val="333333"/>
                <w:sz w:val="16"/>
                <w:szCs w:val="16"/>
                <w:bdr w:val="none" w:color="auto" w:sz="0" w:space="0"/>
              </w:rPr>
              <w:t>自然人</w:t>
            </w:r>
          </w:p>
        </w:tc>
        <w:tc>
          <w:tcPr>
            <w:tcW w:w="2106" w:type="pct"/>
            <w:gridSpan w:val="5"/>
            <w:tcBorders>
              <w:top w:val="single" w:color="auto" w:sz="4" w:space="0"/>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jc w:val="center"/>
              <w:rPr>
                <w:color w:val="333333"/>
                <w:sz w:val="16"/>
                <w:szCs w:val="16"/>
              </w:rPr>
            </w:pPr>
            <w:r>
              <w:rPr>
                <w:rFonts w:hint="default" w:ascii="Times New Roman" w:hAnsi="Times New Roman" w:cs="Times New Roman"/>
                <w:color w:val="333333"/>
                <w:sz w:val="16"/>
                <w:szCs w:val="16"/>
                <w:bdr w:val="none" w:color="auto" w:sz="0" w:space="0"/>
              </w:rPr>
              <w:t>法人或其他组织</w:t>
            </w:r>
          </w:p>
        </w:tc>
        <w:tc>
          <w:tcPr>
            <w:tcW w:w="378" w:type="pct"/>
            <w:vMerge w:val="restart"/>
            <w:tcBorders>
              <w:top w:val="single" w:color="auto" w:sz="4" w:space="0"/>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jc w:val="center"/>
              <w:rPr>
                <w:color w:val="333333"/>
                <w:sz w:val="16"/>
                <w:szCs w:val="16"/>
              </w:rPr>
            </w:pPr>
            <w:r>
              <w:rPr>
                <w:rFonts w:hint="default" w:ascii="Times New Roman" w:hAnsi="Times New Roman" w:cs="Times New Roman"/>
                <w:color w:val="333333"/>
                <w:sz w:val="16"/>
                <w:szCs w:val="16"/>
                <w:bdr w:val="none" w:color="auto" w:sz="0" w:space="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068" w:hRule="atLeast"/>
          <w:jc w:val="center"/>
        </w:trPr>
        <w:tc>
          <w:tcPr>
            <w:tcW w:w="2184" w:type="pct"/>
            <w:gridSpan w:val="3"/>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333" w:type="pct"/>
            <w:vMerge w:val="continue"/>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395" w:type="pct"/>
            <w:tcBorders>
              <w:top w:val="nil"/>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jc w:val="center"/>
              <w:rPr>
                <w:color w:val="333333"/>
                <w:sz w:val="16"/>
                <w:szCs w:val="16"/>
              </w:rPr>
            </w:pPr>
            <w:r>
              <w:rPr>
                <w:rFonts w:hint="default" w:ascii="Times New Roman" w:hAnsi="Times New Roman" w:cs="Times New Roman"/>
                <w:color w:val="333333"/>
                <w:sz w:val="16"/>
                <w:szCs w:val="16"/>
                <w:bdr w:val="none" w:color="auto" w:sz="0" w:space="0"/>
              </w:rPr>
              <w:t>商业企业</w:t>
            </w:r>
          </w:p>
        </w:tc>
        <w:tc>
          <w:tcPr>
            <w:tcW w:w="337" w:type="pct"/>
            <w:tcBorders>
              <w:top w:val="nil"/>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jc w:val="center"/>
              <w:rPr>
                <w:color w:val="333333"/>
                <w:sz w:val="16"/>
                <w:szCs w:val="16"/>
              </w:rPr>
            </w:pPr>
            <w:r>
              <w:rPr>
                <w:rFonts w:hint="default" w:ascii="Times New Roman" w:hAnsi="Times New Roman" w:cs="Times New Roman"/>
                <w:color w:val="333333"/>
                <w:sz w:val="16"/>
                <w:szCs w:val="16"/>
                <w:bdr w:val="none" w:color="auto" w:sz="0" w:space="0"/>
              </w:rPr>
              <w:t>科研机构</w:t>
            </w:r>
          </w:p>
        </w:tc>
        <w:tc>
          <w:tcPr>
            <w:tcW w:w="533" w:type="pct"/>
            <w:tcBorders>
              <w:top w:val="single" w:color="auto" w:sz="4" w:space="0"/>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jc w:val="center"/>
              <w:rPr>
                <w:color w:val="333333"/>
                <w:sz w:val="16"/>
                <w:szCs w:val="16"/>
              </w:rPr>
            </w:pPr>
            <w:r>
              <w:rPr>
                <w:rFonts w:hint="default" w:ascii="Times New Roman" w:hAnsi="Times New Roman" w:cs="Times New Roman"/>
                <w:color w:val="333333"/>
                <w:sz w:val="16"/>
                <w:szCs w:val="16"/>
                <w:bdr w:val="none" w:color="auto" w:sz="0" w:space="0"/>
              </w:rPr>
              <w:t>社会公益组织</w:t>
            </w:r>
          </w:p>
        </w:tc>
        <w:tc>
          <w:tcPr>
            <w:tcW w:w="446" w:type="pct"/>
            <w:tcBorders>
              <w:top w:val="single" w:color="auto" w:sz="4" w:space="0"/>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jc w:val="center"/>
              <w:rPr>
                <w:color w:val="333333"/>
                <w:sz w:val="16"/>
                <w:szCs w:val="16"/>
              </w:rPr>
            </w:pPr>
            <w:r>
              <w:rPr>
                <w:rFonts w:hint="default" w:ascii="Times New Roman" w:hAnsi="Times New Roman" w:cs="Times New Roman"/>
                <w:color w:val="333333"/>
                <w:sz w:val="16"/>
                <w:szCs w:val="16"/>
                <w:bdr w:val="none" w:color="auto" w:sz="0" w:space="0"/>
              </w:rPr>
              <w:t>法律服务机构</w:t>
            </w:r>
          </w:p>
        </w:tc>
        <w:tc>
          <w:tcPr>
            <w:tcW w:w="391" w:type="pct"/>
            <w:tcBorders>
              <w:top w:val="single" w:color="auto" w:sz="4" w:space="0"/>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jc w:val="center"/>
              <w:rPr>
                <w:color w:val="333333"/>
                <w:sz w:val="16"/>
                <w:szCs w:val="16"/>
              </w:rPr>
            </w:pPr>
            <w:r>
              <w:rPr>
                <w:rFonts w:hint="default" w:ascii="Times New Roman" w:hAnsi="Times New Roman" w:cs="Times New Roman"/>
                <w:color w:val="333333"/>
                <w:sz w:val="16"/>
                <w:szCs w:val="16"/>
                <w:bdr w:val="none" w:color="auto" w:sz="0" w:space="0"/>
              </w:rPr>
              <w:t>其他</w:t>
            </w:r>
          </w:p>
        </w:tc>
        <w:tc>
          <w:tcPr>
            <w:tcW w:w="378" w:type="pct"/>
            <w:vMerge w:val="continue"/>
            <w:tcBorders>
              <w:top w:val="single" w:color="auto" w:sz="4" w:space="0"/>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28" w:hRule="atLeast"/>
          <w:jc w:val="center"/>
        </w:trPr>
        <w:tc>
          <w:tcPr>
            <w:tcW w:w="2184" w:type="pct"/>
            <w:gridSpan w:val="3"/>
            <w:tcBorders>
              <w:top w:val="nil"/>
              <w:left w:val="single" w:color="auto" w:sz="4" w:space="0"/>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rPr>
                <w:color w:val="333333"/>
                <w:sz w:val="16"/>
                <w:szCs w:val="16"/>
              </w:rPr>
            </w:pPr>
            <w:r>
              <w:rPr>
                <w:rFonts w:hint="default" w:ascii="Times New Roman" w:hAnsi="Times New Roman" w:cs="Times New Roman"/>
                <w:color w:val="333333"/>
                <w:sz w:val="16"/>
                <w:szCs w:val="16"/>
                <w:bdr w:val="none" w:color="auto" w:sz="0" w:space="0"/>
              </w:rPr>
              <w:t>一、本年新收政府信息公开申请数量</w:t>
            </w:r>
          </w:p>
        </w:tc>
        <w:tc>
          <w:tcPr>
            <w:tcW w:w="333" w:type="pct"/>
            <w:tcBorders>
              <w:top w:val="nil"/>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jc w:val="center"/>
              <w:rPr>
                <w:color w:val="333333"/>
                <w:sz w:val="16"/>
                <w:szCs w:val="16"/>
              </w:rPr>
            </w:pPr>
            <w:r>
              <w:rPr>
                <w:rFonts w:hint="eastAsia" w:ascii="宋体" w:hAnsi="宋体" w:eastAsia="宋体" w:cs="宋体"/>
                <w:color w:val="333333"/>
                <w:sz w:val="16"/>
                <w:szCs w:val="16"/>
                <w:bdr w:val="none" w:color="auto" w:sz="0" w:space="0"/>
              </w:rPr>
              <w:t>41</w:t>
            </w:r>
          </w:p>
        </w:tc>
        <w:tc>
          <w:tcPr>
            <w:tcW w:w="395"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337"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533"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446"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391"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378" w:type="pct"/>
            <w:tcBorders>
              <w:top w:val="nil"/>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jc w:val="center"/>
              <w:rPr>
                <w:color w:val="333333"/>
                <w:sz w:val="16"/>
                <w:szCs w:val="16"/>
              </w:rPr>
            </w:pPr>
            <w:r>
              <w:rPr>
                <w:rFonts w:hint="eastAsia" w:ascii="宋体" w:hAnsi="宋体" w:eastAsia="宋体" w:cs="宋体"/>
                <w:color w:val="333333"/>
                <w:sz w:val="16"/>
                <w:szCs w:val="16"/>
                <w:bdr w:val="none" w:color="auto" w:sz="0" w:space="0"/>
              </w:rPr>
              <w:t>41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56" w:hRule="atLeast"/>
          <w:jc w:val="center"/>
        </w:trPr>
        <w:tc>
          <w:tcPr>
            <w:tcW w:w="2184" w:type="pct"/>
            <w:gridSpan w:val="3"/>
            <w:tcBorders>
              <w:top w:val="nil"/>
              <w:left w:val="single" w:color="auto" w:sz="4" w:space="0"/>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rPr>
                <w:color w:val="333333"/>
                <w:sz w:val="16"/>
                <w:szCs w:val="16"/>
              </w:rPr>
            </w:pPr>
            <w:r>
              <w:rPr>
                <w:rFonts w:hint="default" w:ascii="Times New Roman" w:hAnsi="Times New Roman" w:cs="Times New Roman"/>
                <w:color w:val="333333"/>
                <w:sz w:val="16"/>
                <w:szCs w:val="16"/>
                <w:bdr w:val="none" w:color="auto" w:sz="0" w:space="0"/>
              </w:rPr>
              <w:t>二、上年结转政府信息公开申请数量</w:t>
            </w:r>
          </w:p>
        </w:tc>
        <w:tc>
          <w:tcPr>
            <w:tcW w:w="333"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395"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337"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533"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446"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391"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378"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354" w:type="pct"/>
            <w:vMerge w:val="restart"/>
            <w:tcBorders>
              <w:top w:val="nil"/>
              <w:left w:val="single" w:color="auto" w:sz="4" w:space="0"/>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jc w:val="center"/>
              <w:rPr>
                <w:color w:val="333333"/>
                <w:sz w:val="16"/>
                <w:szCs w:val="16"/>
              </w:rPr>
            </w:pPr>
            <w:r>
              <w:rPr>
                <w:rFonts w:hint="default" w:ascii="Times New Roman" w:hAnsi="Times New Roman" w:cs="Times New Roman"/>
                <w:color w:val="333333"/>
                <w:sz w:val="16"/>
                <w:szCs w:val="16"/>
                <w:bdr w:val="none" w:color="auto" w:sz="0" w:space="0"/>
              </w:rPr>
              <w:t>三、本年度办理结果</w:t>
            </w:r>
          </w:p>
        </w:tc>
        <w:tc>
          <w:tcPr>
            <w:tcW w:w="1828" w:type="pct"/>
            <w:gridSpan w:val="2"/>
            <w:tcBorders>
              <w:top w:val="nil"/>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rPr>
                <w:color w:val="333333"/>
                <w:sz w:val="16"/>
                <w:szCs w:val="16"/>
              </w:rPr>
            </w:pPr>
            <w:r>
              <w:rPr>
                <w:rFonts w:hint="default" w:ascii="Times New Roman" w:hAnsi="Times New Roman" w:cs="Times New Roman"/>
                <w:color w:val="333333"/>
                <w:sz w:val="16"/>
                <w:szCs w:val="16"/>
                <w:bdr w:val="none" w:color="auto" w:sz="0" w:space="0"/>
              </w:rPr>
              <w:t>（一）予以公开</w:t>
            </w:r>
          </w:p>
        </w:tc>
        <w:tc>
          <w:tcPr>
            <w:tcW w:w="333" w:type="pct"/>
            <w:tcBorders>
              <w:top w:val="nil"/>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jc w:val="center"/>
              <w:rPr>
                <w:color w:val="333333"/>
                <w:sz w:val="16"/>
                <w:szCs w:val="16"/>
              </w:rPr>
            </w:pPr>
            <w:r>
              <w:rPr>
                <w:rFonts w:hint="eastAsia" w:ascii="宋体" w:hAnsi="宋体" w:eastAsia="宋体" w:cs="宋体"/>
                <w:color w:val="333333"/>
                <w:sz w:val="16"/>
                <w:szCs w:val="16"/>
                <w:bdr w:val="none" w:color="auto" w:sz="0" w:space="0"/>
              </w:rPr>
              <w:t>41</w:t>
            </w:r>
          </w:p>
        </w:tc>
        <w:tc>
          <w:tcPr>
            <w:tcW w:w="395"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337"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533"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446"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391"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378" w:type="pct"/>
            <w:tcBorders>
              <w:top w:val="single" w:color="auto" w:sz="4" w:space="0"/>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jc w:val="center"/>
              <w:rPr>
                <w:color w:val="333333"/>
                <w:sz w:val="16"/>
                <w:szCs w:val="16"/>
              </w:rPr>
            </w:pPr>
            <w:r>
              <w:rPr>
                <w:rFonts w:hint="eastAsia" w:ascii="宋体" w:hAnsi="宋体" w:eastAsia="宋体" w:cs="宋体"/>
                <w:color w:val="333333"/>
                <w:sz w:val="16"/>
                <w:szCs w:val="16"/>
                <w:bdr w:val="none" w:color="auto" w:sz="0" w:space="0"/>
              </w:rPr>
              <w:t>41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354" w:type="pct"/>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1828" w:type="pct"/>
            <w:gridSpan w:val="2"/>
            <w:tcBorders>
              <w:top w:val="nil"/>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rPr>
                <w:color w:val="333333"/>
                <w:sz w:val="16"/>
                <w:szCs w:val="16"/>
              </w:rPr>
            </w:pPr>
            <w:r>
              <w:rPr>
                <w:rFonts w:hint="default" w:ascii="Times New Roman" w:hAnsi="Times New Roman" w:cs="Times New Roman"/>
                <w:color w:val="333333"/>
                <w:sz w:val="16"/>
                <w:szCs w:val="16"/>
                <w:bdr w:val="none" w:color="auto" w:sz="0" w:space="0"/>
              </w:rPr>
              <w:t>（二）部分公开（区分处理的，只计这一情形，不计其他情形）</w:t>
            </w:r>
          </w:p>
        </w:tc>
        <w:tc>
          <w:tcPr>
            <w:tcW w:w="333"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395"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337"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533"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446"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391"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378"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354" w:type="pct"/>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473" w:type="pct"/>
            <w:vMerge w:val="restart"/>
            <w:tcBorders>
              <w:top w:val="nil"/>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rPr>
                <w:color w:val="333333"/>
                <w:sz w:val="16"/>
                <w:szCs w:val="16"/>
              </w:rPr>
            </w:pPr>
            <w:r>
              <w:rPr>
                <w:rFonts w:hint="default" w:ascii="Times New Roman" w:hAnsi="Times New Roman" w:cs="Times New Roman"/>
                <w:color w:val="333333"/>
                <w:sz w:val="16"/>
                <w:szCs w:val="16"/>
                <w:bdr w:val="none" w:color="auto" w:sz="0" w:space="0"/>
              </w:rPr>
              <w:t>（三）不予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rPr>
                <w:color w:val="333333"/>
                <w:sz w:val="16"/>
                <w:szCs w:val="16"/>
              </w:rPr>
            </w:pPr>
            <w:r>
              <w:rPr>
                <w:rFonts w:hint="default" w:ascii="Times New Roman" w:hAnsi="Times New Roman" w:cs="Times New Roman"/>
                <w:color w:val="333333"/>
                <w:sz w:val="16"/>
                <w:szCs w:val="16"/>
                <w:bdr w:val="none" w:color="auto" w:sz="0" w:space="0"/>
              </w:rPr>
              <w:t>公开</w:t>
            </w:r>
          </w:p>
        </w:tc>
        <w:tc>
          <w:tcPr>
            <w:tcW w:w="1355" w:type="pct"/>
            <w:tcBorders>
              <w:top w:val="nil"/>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rPr>
                <w:color w:val="333333"/>
                <w:sz w:val="16"/>
                <w:szCs w:val="16"/>
              </w:rPr>
            </w:pPr>
            <w:r>
              <w:rPr>
                <w:rFonts w:hint="default" w:ascii="Times New Roman" w:hAnsi="Times New Roman" w:cs="Times New Roman"/>
                <w:color w:val="333333"/>
                <w:sz w:val="16"/>
                <w:szCs w:val="16"/>
                <w:bdr w:val="none" w:color="auto" w:sz="0" w:space="0"/>
              </w:rPr>
              <w:t>1.</w:t>
            </w:r>
            <w:r>
              <w:rPr>
                <w:rFonts w:hint="eastAsia" w:ascii="宋体" w:hAnsi="宋体" w:eastAsia="宋体" w:cs="宋体"/>
                <w:color w:val="333333"/>
                <w:sz w:val="16"/>
                <w:szCs w:val="16"/>
                <w:bdr w:val="none" w:color="auto" w:sz="0" w:space="0"/>
              </w:rPr>
              <w:t>属于国家秘密</w:t>
            </w:r>
          </w:p>
        </w:tc>
        <w:tc>
          <w:tcPr>
            <w:tcW w:w="333"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395"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337"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533"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446"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391"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378" w:type="pct"/>
            <w:tcBorders>
              <w:top w:val="single" w:color="auto" w:sz="4" w:space="0"/>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354" w:type="pct"/>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473" w:type="pct"/>
            <w:vMerge w:val="continue"/>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1355" w:type="pct"/>
            <w:tcBorders>
              <w:top w:val="nil"/>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rPr>
                <w:color w:val="333333"/>
                <w:sz w:val="16"/>
                <w:szCs w:val="16"/>
              </w:rPr>
            </w:pPr>
            <w:r>
              <w:rPr>
                <w:rFonts w:hint="default" w:ascii="Times New Roman" w:hAnsi="Times New Roman" w:cs="Times New Roman"/>
                <w:color w:val="333333"/>
                <w:sz w:val="16"/>
                <w:szCs w:val="16"/>
                <w:bdr w:val="none" w:color="auto" w:sz="0" w:space="0"/>
              </w:rPr>
              <w:t>2.</w:t>
            </w:r>
            <w:r>
              <w:rPr>
                <w:rFonts w:hint="eastAsia" w:ascii="宋体" w:hAnsi="宋体" w:eastAsia="宋体" w:cs="宋体"/>
                <w:color w:val="333333"/>
                <w:sz w:val="16"/>
                <w:szCs w:val="16"/>
                <w:bdr w:val="none" w:color="auto" w:sz="0" w:space="0"/>
              </w:rPr>
              <w:t>其他法律行政法规禁止公开</w:t>
            </w:r>
          </w:p>
        </w:tc>
        <w:tc>
          <w:tcPr>
            <w:tcW w:w="333"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395"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337"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533"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446"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391"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378"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354" w:type="pct"/>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473" w:type="pct"/>
            <w:vMerge w:val="continue"/>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1355" w:type="pct"/>
            <w:tcBorders>
              <w:top w:val="nil"/>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rPr>
                <w:color w:val="333333"/>
                <w:sz w:val="16"/>
                <w:szCs w:val="16"/>
              </w:rPr>
            </w:pPr>
            <w:r>
              <w:rPr>
                <w:rFonts w:hint="default" w:ascii="Times New Roman" w:hAnsi="Times New Roman" w:cs="Times New Roman"/>
                <w:color w:val="333333"/>
                <w:sz w:val="16"/>
                <w:szCs w:val="16"/>
                <w:bdr w:val="none" w:color="auto" w:sz="0" w:space="0"/>
              </w:rPr>
              <w:t>3.</w:t>
            </w:r>
            <w:r>
              <w:rPr>
                <w:rFonts w:hint="eastAsia" w:ascii="宋体" w:hAnsi="宋体" w:eastAsia="宋体" w:cs="宋体"/>
                <w:color w:val="333333"/>
                <w:sz w:val="16"/>
                <w:szCs w:val="16"/>
                <w:bdr w:val="none" w:color="auto" w:sz="0" w:space="0"/>
              </w:rPr>
              <w:t>危及</w:t>
            </w:r>
            <w:r>
              <w:rPr>
                <w:rFonts w:hint="default" w:ascii="Times New Roman" w:hAnsi="Times New Roman" w:cs="Times New Roman"/>
                <w:color w:val="333333"/>
                <w:sz w:val="16"/>
                <w:szCs w:val="16"/>
                <w:bdr w:val="none" w:color="auto" w:sz="0" w:space="0"/>
              </w:rPr>
              <w:t>“</w:t>
            </w:r>
            <w:r>
              <w:rPr>
                <w:rFonts w:hint="eastAsia" w:ascii="宋体" w:hAnsi="宋体" w:eastAsia="宋体" w:cs="宋体"/>
                <w:color w:val="333333"/>
                <w:sz w:val="16"/>
                <w:szCs w:val="16"/>
                <w:bdr w:val="none" w:color="auto" w:sz="0" w:space="0"/>
              </w:rPr>
              <w:t>三安全一稳定</w:t>
            </w:r>
            <w:r>
              <w:rPr>
                <w:rFonts w:hint="default" w:ascii="Times New Roman" w:hAnsi="Times New Roman" w:cs="Times New Roman"/>
                <w:color w:val="333333"/>
                <w:sz w:val="16"/>
                <w:szCs w:val="16"/>
                <w:bdr w:val="none" w:color="auto" w:sz="0" w:space="0"/>
              </w:rPr>
              <w:t>”</w:t>
            </w:r>
          </w:p>
        </w:tc>
        <w:tc>
          <w:tcPr>
            <w:tcW w:w="333"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395"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337"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533"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446"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391"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378"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354" w:type="pct"/>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473" w:type="pct"/>
            <w:vMerge w:val="continue"/>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1355" w:type="pct"/>
            <w:tcBorders>
              <w:top w:val="nil"/>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rPr>
                <w:color w:val="333333"/>
                <w:sz w:val="16"/>
                <w:szCs w:val="16"/>
              </w:rPr>
            </w:pPr>
            <w:r>
              <w:rPr>
                <w:rFonts w:hint="default" w:ascii="Times New Roman" w:hAnsi="Times New Roman" w:cs="Times New Roman"/>
                <w:color w:val="333333"/>
                <w:sz w:val="16"/>
                <w:szCs w:val="16"/>
                <w:bdr w:val="none" w:color="auto" w:sz="0" w:space="0"/>
              </w:rPr>
              <w:t>4.</w:t>
            </w:r>
            <w:r>
              <w:rPr>
                <w:rFonts w:hint="eastAsia" w:ascii="宋体" w:hAnsi="宋体" w:eastAsia="宋体" w:cs="宋体"/>
                <w:color w:val="333333"/>
                <w:sz w:val="16"/>
                <w:szCs w:val="16"/>
                <w:bdr w:val="none" w:color="auto" w:sz="0" w:space="0"/>
              </w:rPr>
              <w:t>保护第三方合法权益</w:t>
            </w:r>
          </w:p>
        </w:tc>
        <w:tc>
          <w:tcPr>
            <w:tcW w:w="333"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395"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337"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533"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446"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391"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378"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354" w:type="pct"/>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473" w:type="pct"/>
            <w:vMerge w:val="continue"/>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1355" w:type="pct"/>
            <w:tcBorders>
              <w:top w:val="nil"/>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rPr>
                <w:color w:val="333333"/>
                <w:sz w:val="16"/>
                <w:szCs w:val="16"/>
              </w:rPr>
            </w:pPr>
            <w:r>
              <w:rPr>
                <w:rFonts w:hint="default" w:ascii="Times New Roman" w:hAnsi="Times New Roman" w:cs="Times New Roman"/>
                <w:color w:val="333333"/>
                <w:sz w:val="16"/>
                <w:szCs w:val="16"/>
                <w:bdr w:val="none" w:color="auto" w:sz="0" w:space="0"/>
              </w:rPr>
              <w:t>5.</w:t>
            </w:r>
            <w:r>
              <w:rPr>
                <w:rFonts w:hint="eastAsia" w:ascii="宋体" w:hAnsi="宋体" w:eastAsia="宋体" w:cs="宋体"/>
                <w:color w:val="333333"/>
                <w:sz w:val="16"/>
                <w:szCs w:val="16"/>
                <w:bdr w:val="none" w:color="auto" w:sz="0" w:space="0"/>
              </w:rPr>
              <w:t>属于三类内部事务信息</w:t>
            </w:r>
          </w:p>
        </w:tc>
        <w:tc>
          <w:tcPr>
            <w:tcW w:w="333"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395"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337"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533"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446"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391"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378"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354" w:type="pct"/>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473" w:type="pct"/>
            <w:vMerge w:val="continue"/>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1355" w:type="pct"/>
            <w:tcBorders>
              <w:top w:val="nil"/>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rPr>
                <w:color w:val="333333"/>
                <w:sz w:val="16"/>
                <w:szCs w:val="16"/>
              </w:rPr>
            </w:pPr>
            <w:r>
              <w:rPr>
                <w:rFonts w:hint="default" w:ascii="Times New Roman" w:hAnsi="Times New Roman" w:cs="Times New Roman"/>
                <w:color w:val="333333"/>
                <w:sz w:val="16"/>
                <w:szCs w:val="16"/>
                <w:bdr w:val="none" w:color="auto" w:sz="0" w:space="0"/>
              </w:rPr>
              <w:t>6.</w:t>
            </w:r>
            <w:r>
              <w:rPr>
                <w:rFonts w:hint="eastAsia" w:ascii="宋体" w:hAnsi="宋体" w:eastAsia="宋体" w:cs="宋体"/>
                <w:color w:val="333333"/>
                <w:sz w:val="16"/>
                <w:szCs w:val="16"/>
                <w:bdr w:val="none" w:color="auto" w:sz="0" w:space="0"/>
              </w:rPr>
              <w:t>属于四类过程性信息</w:t>
            </w:r>
          </w:p>
        </w:tc>
        <w:tc>
          <w:tcPr>
            <w:tcW w:w="333"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395"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337"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533"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446"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391"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378"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354" w:type="pct"/>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473" w:type="pct"/>
            <w:vMerge w:val="continue"/>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1355" w:type="pct"/>
            <w:tcBorders>
              <w:top w:val="nil"/>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rPr>
                <w:color w:val="333333"/>
                <w:sz w:val="16"/>
                <w:szCs w:val="16"/>
              </w:rPr>
            </w:pPr>
            <w:r>
              <w:rPr>
                <w:rFonts w:hint="default" w:ascii="Times New Roman" w:hAnsi="Times New Roman" w:cs="Times New Roman"/>
                <w:color w:val="333333"/>
                <w:sz w:val="16"/>
                <w:szCs w:val="16"/>
                <w:bdr w:val="none" w:color="auto" w:sz="0" w:space="0"/>
              </w:rPr>
              <w:t>7.</w:t>
            </w:r>
            <w:r>
              <w:rPr>
                <w:rFonts w:hint="eastAsia" w:ascii="宋体" w:hAnsi="宋体" w:eastAsia="宋体" w:cs="宋体"/>
                <w:color w:val="333333"/>
                <w:sz w:val="16"/>
                <w:szCs w:val="16"/>
                <w:bdr w:val="none" w:color="auto" w:sz="0" w:space="0"/>
              </w:rPr>
              <w:t>属于行政执法案卷</w:t>
            </w:r>
          </w:p>
        </w:tc>
        <w:tc>
          <w:tcPr>
            <w:tcW w:w="333"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395"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337"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533"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446"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391"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378"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354" w:type="pct"/>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473" w:type="pct"/>
            <w:vMerge w:val="continue"/>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1355" w:type="pct"/>
            <w:tcBorders>
              <w:top w:val="nil"/>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rPr>
                <w:color w:val="333333"/>
                <w:sz w:val="16"/>
                <w:szCs w:val="16"/>
              </w:rPr>
            </w:pPr>
            <w:r>
              <w:rPr>
                <w:rFonts w:hint="default" w:ascii="Times New Roman" w:hAnsi="Times New Roman" w:cs="Times New Roman"/>
                <w:color w:val="333333"/>
                <w:sz w:val="16"/>
                <w:szCs w:val="16"/>
                <w:bdr w:val="none" w:color="auto" w:sz="0" w:space="0"/>
              </w:rPr>
              <w:t>8.</w:t>
            </w:r>
            <w:r>
              <w:rPr>
                <w:rFonts w:hint="eastAsia" w:ascii="宋体" w:hAnsi="宋体" w:eastAsia="宋体" w:cs="宋体"/>
                <w:color w:val="333333"/>
                <w:sz w:val="16"/>
                <w:szCs w:val="16"/>
                <w:bdr w:val="none" w:color="auto" w:sz="0" w:space="0"/>
              </w:rPr>
              <w:t>属于行政查询事项</w:t>
            </w:r>
          </w:p>
        </w:tc>
        <w:tc>
          <w:tcPr>
            <w:tcW w:w="333"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395"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337"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533"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446"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391"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378"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354" w:type="pct"/>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473" w:type="pct"/>
            <w:vMerge w:val="restart"/>
            <w:tcBorders>
              <w:top w:val="nil"/>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rPr>
                <w:color w:val="333333"/>
                <w:sz w:val="16"/>
                <w:szCs w:val="16"/>
              </w:rPr>
            </w:pPr>
            <w:r>
              <w:rPr>
                <w:rFonts w:hint="default" w:ascii="Times New Roman" w:hAnsi="Times New Roman" w:cs="Times New Roman"/>
                <w:color w:val="333333"/>
                <w:sz w:val="16"/>
                <w:szCs w:val="16"/>
                <w:bdr w:val="none" w:color="auto" w:sz="0" w:space="0"/>
              </w:rPr>
              <w:t>（四）无法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rPr>
                <w:color w:val="333333"/>
                <w:sz w:val="16"/>
                <w:szCs w:val="16"/>
              </w:rPr>
            </w:pPr>
            <w:r>
              <w:rPr>
                <w:rFonts w:hint="default" w:ascii="Times New Roman" w:hAnsi="Times New Roman" w:cs="Times New Roman"/>
                <w:color w:val="333333"/>
                <w:sz w:val="16"/>
                <w:szCs w:val="16"/>
                <w:bdr w:val="none" w:color="auto" w:sz="0" w:space="0"/>
              </w:rPr>
              <w:t>提供</w:t>
            </w:r>
          </w:p>
        </w:tc>
        <w:tc>
          <w:tcPr>
            <w:tcW w:w="1355" w:type="pct"/>
            <w:tcBorders>
              <w:top w:val="nil"/>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rPr>
                <w:color w:val="333333"/>
                <w:sz w:val="16"/>
                <w:szCs w:val="16"/>
              </w:rPr>
            </w:pPr>
            <w:r>
              <w:rPr>
                <w:rFonts w:hint="default" w:ascii="Times New Roman" w:hAnsi="Times New Roman" w:cs="Times New Roman"/>
                <w:color w:val="333333"/>
                <w:sz w:val="16"/>
                <w:szCs w:val="16"/>
                <w:bdr w:val="none" w:color="auto" w:sz="0" w:space="0"/>
              </w:rPr>
              <w:t>1.</w:t>
            </w:r>
            <w:r>
              <w:rPr>
                <w:rFonts w:hint="eastAsia" w:ascii="宋体" w:hAnsi="宋体" w:eastAsia="宋体" w:cs="宋体"/>
                <w:color w:val="333333"/>
                <w:sz w:val="16"/>
                <w:szCs w:val="16"/>
                <w:bdr w:val="none" w:color="auto" w:sz="0" w:space="0"/>
              </w:rPr>
              <w:t>本机关不掌握相关政府信息</w:t>
            </w:r>
          </w:p>
        </w:tc>
        <w:tc>
          <w:tcPr>
            <w:tcW w:w="333"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395"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337"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533"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446"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391"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378"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PrEx>
        <w:trPr>
          <w:jc w:val="center"/>
        </w:trPr>
        <w:tc>
          <w:tcPr>
            <w:tcW w:w="354" w:type="pct"/>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473" w:type="pct"/>
            <w:vMerge w:val="continue"/>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1355" w:type="pct"/>
            <w:tcBorders>
              <w:top w:val="nil"/>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rPr>
                <w:color w:val="333333"/>
                <w:sz w:val="16"/>
                <w:szCs w:val="16"/>
              </w:rPr>
            </w:pPr>
            <w:r>
              <w:rPr>
                <w:rFonts w:hint="default" w:ascii="Times New Roman" w:hAnsi="Times New Roman" w:cs="Times New Roman"/>
                <w:color w:val="333333"/>
                <w:sz w:val="16"/>
                <w:szCs w:val="16"/>
                <w:bdr w:val="none" w:color="auto" w:sz="0" w:space="0"/>
              </w:rPr>
              <w:t>2.</w:t>
            </w:r>
            <w:r>
              <w:rPr>
                <w:rFonts w:hint="eastAsia" w:ascii="宋体" w:hAnsi="宋体" w:eastAsia="宋体" w:cs="宋体"/>
                <w:color w:val="333333"/>
                <w:sz w:val="16"/>
                <w:szCs w:val="16"/>
                <w:bdr w:val="none" w:color="auto" w:sz="0" w:space="0"/>
              </w:rPr>
              <w:t>没有现成信息需要另行制作</w:t>
            </w:r>
          </w:p>
        </w:tc>
        <w:tc>
          <w:tcPr>
            <w:tcW w:w="333"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395"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337"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533"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446"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391"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378"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PrEx>
        <w:trPr>
          <w:jc w:val="center"/>
        </w:trPr>
        <w:tc>
          <w:tcPr>
            <w:tcW w:w="354" w:type="pct"/>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473" w:type="pct"/>
            <w:vMerge w:val="continue"/>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1355" w:type="pct"/>
            <w:tcBorders>
              <w:top w:val="nil"/>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rPr>
                <w:color w:val="333333"/>
                <w:sz w:val="16"/>
                <w:szCs w:val="16"/>
              </w:rPr>
            </w:pPr>
            <w:r>
              <w:rPr>
                <w:rFonts w:hint="default" w:ascii="Times New Roman" w:hAnsi="Times New Roman" w:cs="Times New Roman"/>
                <w:color w:val="333333"/>
                <w:sz w:val="16"/>
                <w:szCs w:val="16"/>
                <w:bdr w:val="none" w:color="auto" w:sz="0" w:space="0"/>
              </w:rPr>
              <w:t>3.</w:t>
            </w:r>
            <w:r>
              <w:rPr>
                <w:rFonts w:hint="eastAsia" w:ascii="宋体" w:hAnsi="宋体" w:eastAsia="宋体" w:cs="宋体"/>
                <w:color w:val="333333"/>
                <w:sz w:val="16"/>
                <w:szCs w:val="16"/>
                <w:bdr w:val="none" w:color="auto" w:sz="0" w:space="0"/>
              </w:rPr>
              <w:t>补正后申请内容仍不明确</w:t>
            </w:r>
          </w:p>
        </w:tc>
        <w:tc>
          <w:tcPr>
            <w:tcW w:w="333"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395"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337"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533"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446"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391"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378"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354" w:type="pct"/>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473" w:type="pct"/>
            <w:vMerge w:val="restart"/>
            <w:tcBorders>
              <w:top w:val="nil"/>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rPr>
                <w:color w:val="333333"/>
                <w:sz w:val="16"/>
                <w:szCs w:val="16"/>
              </w:rPr>
            </w:pPr>
            <w:r>
              <w:rPr>
                <w:rFonts w:hint="default" w:ascii="Times New Roman" w:hAnsi="Times New Roman" w:cs="Times New Roman"/>
                <w:color w:val="333333"/>
                <w:sz w:val="16"/>
                <w:szCs w:val="16"/>
                <w:bdr w:val="none" w:color="auto" w:sz="0" w:space="0"/>
              </w:rPr>
              <w:t>（五）不予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rPr>
                <w:color w:val="333333"/>
                <w:sz w:val="16"/>
                <w:szCs w:val="16"/>
              </w:rPr>
            </w:pPr>
            <w:r>
              <w:rPr>
                <w:rFonts w:hint="default" w:ascii="Times New Roman" w:hAnsi="Times New Roman" w:cs="Times New Roman"/>
                <w:color w:val="333333"/>
                <w:sz w:val="16"/>
                <w:szCs w:val="16"/>
                <w:bdr w:val="none" w:color="auto" w:sz="0" w:space="0"/>
              </w:rPr>
              <w:t>处理</w:t>
            </w:r>
          </w:p>
        </w:tc>
        <w:tc>
          <w:tcPr>
            <w:tcW w:w="1355" w:type="pct"/>
            <w:tcBorders>
              <w:top w:val="nil"/>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rPr>
                <w:color w:val="333333"/>
                <w:sz w:val="16"/>
                <w:szCs w:val="16"/>
              </w:rPr>
            </w:pPr>
            <w:r>
              <w:rPr>
                <w:rFonts w:hint="default" w:ascii="Times New Roman" w:hAnsi="Times New Roman" w:cs="Times New Roman"/>
                <w:color w:val="333333"/>
                <w:sz w:val="16"/>
                <w:szCs w:val="16"/>
                <w:bdr w:val="none" w:color="auto" w:sz="0" w:space="0"/>
              </w:rPr>
              <w:t>1.</w:t>
            </w:r>
            <w:r>
              <w:rPr>
                <w:rFonts w:hint="eastAsia" w:ascii="宋体" w:hAnsi="宋体" w:eastAsia="宋体" w:cs="宋体"/>
                <w:color w:val="333333"/>
                <w:sz w:val="16"/>
                <w:szCs w:val="16"/>
                <w:bdr w:val="none" w:color="auto" w:sz="0" w:space="0"/>
              </w:rPr>
              <w:t>信访举报投诉类申请</w:t>
            </w:r>
          </w:p>
        </w:tc>
        <w:tc>
          <w:tcPr>
            <w:tcW w:w="333"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395"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337"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533"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446"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391"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378"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354" w:type="pct"/>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473" w:type="pct"/>
            <w:vMerge w:val="continue"/>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1355" w:type="pct"/>
            <w:tcBorders>
              <w:top w:val="nil"/>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rPr>
                <w:color w:val="333333"/>
                <w:sz w:val="16"/>
                <w:szCs w:val="16"/>
              </w:rPr>
            </w:pPr>
            <w:r>
              <w:rPr>
                <w:rFonts w:hint="default" w:ascii="Times New Roman" w:hAnsi="Times New Roman" w:cs="Times New Roman"/>
                <w:color w:val="333333"/>
                <w:sz w:val="16"/>
                <w:szCs w:val="16"/>
                <w:bdr w:val="none" w:color="auto" w:sz="0" w:space="0"/>
              </w:rPr>
              <w:t>2.</w:t>
            </w:r>
            <w:r>
              <w:rPr>
                <w:rFonts w:hint="eastAsia" w:ascii="宋体" w:hAnsi="宋体" w:eastAsia="宋体" w:cs="宋体"/>
                <w:color w:val="333333"/>
                <w:sz w:val="16"/>
                <w:szCs w:val="16"/>
                <w:bdr w:val="none" w:color="auto" w:sz="0" w:space="0"/>
              </w:rPr>
              <w:t>重复申请</w:t>
            </w:r>
          </w:p>
        </w:tc>
        <w:tc>
          <w:tcPr>
            <w:tcW w:w="333"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395"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337"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533"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446"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391"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378"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354" w:type="pct"/>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473" w:type="pct"/>
            <w:vMerge w:val="continue"/>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1355" w:type="pct"/>
            <w:tcBorders>
              <w:top w:val="nil"/>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rPr>
                <w:color w:val="333333"/>
                <w:sz w:val="16"/>
                <w:szCs w:val="16"/>
              </w:rPr>
            </w:pPr>
            <w:r>
              <w:rPr>
                <w:rFonts w:hint="default" w:ascii="Times New Roman" w:hAnsi="Times New Roman" w:cs="Times New Roman"/>
                <w:color w:val="333333"/>
                <w:sz w:val="16"/>
                <w:szCs w:val="16"/>
                <w:bdr w:val="none" w:color="auto" w:sz="0" w:space="0"/>
              </w:rPr>
              <w:t>3.</w:t>
            </w:r>
            <w:r>
              <w:rPr>
                <w:rFonts w:hint="eastAsia" w:ascii="宋体" w:hAnsi="宋体" w:eastAsia="宋体" w:cs="宋体"/>
                <w:color w:val="333333"/>
                <w:sz w:val="16"/>
                <w:szCs w:val="16"/>
                <w:bdr w:val="none" w:color="auto" w:sz="0" w:space="0"/>
              </w:rPr>
              <w:t>要求提供公开出版物</w:t>
            </w:r>
          </w:p>
        </w:tc>
        <w:tc>
          <w:tcPr>
            <w:tcW w:w="333"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395"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337"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533"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446"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391"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378"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354" w:type="pct"/>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473" w:type="pct"/>
            <w:vMerge w:val="continue"/>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1355" w:type="pct"/>
            <w:tcBorders>
              <w:top w:val="nil"/>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rPr>
                <w:color w:val="333333"/>
                <w:sz w:val="16"/>
                <w:szCs w:val="16"/>
              </w:rPr>
            </w:pPr>
            <w:r>
              <w:rPr>
                <w:rFonts w:hint="default" w:ascii="Times New Roman" w:hAnsi="Times New Roman" w:cs="Times New Roman"/>
                <w:color w:val="333333"/>
                <w:sz w:val="16"/>
                <w:szCs w:val="16"/>
                <w:bdr w:val="none" w:color="auto" w:sz="0" w:space="0"/>
              </w:rPr>
              <w:t>4.</w:t>
            </w:r>
            <w:r>
              <w:rPr>
                <w:rFonts w:hint="eastAsia" w:ascii="宋体" w:hAnsi="宋体" w:eastAsia="宋体" w:cs="宋体"/>
                <w:color w:val="333333"/>
                <w:sz w:val="16"/>
                <w:szCs w:val="16"/>
                <w:bdr w:val="none" w:color="auto" w:sz="0" w:space="0"/>
              </w:rPr>
              <w:t>无正当理由大量反复申请</w:t>
            </w:r>
          </w:p>
        </w:tc>
        <w:tc>
          <w:tcPr>
            <w:tcW w:w="333"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395"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337"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533"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446"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391"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378"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354" w:type="pct"/>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473" w:type="pct"/>
            <w:vMerge w:val="continue"/>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1355" w:type="pct"/>
            <w:tcBorders>
              <w:top w:val="nil"/>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rPr>
                <w:color w:val="333333"/>
                <w:sz w:val="16"/>
                <w:szCs w:val="16"/>
              </w:rPr>
            </w:pPr>
            <w:r>
              <w:rPr>
                <w:rFonts w:hint="default" w:ascii="Times New Roman" w:hAnsi="Times New Roman" w:cs="Times New Roman"/>
                <w:color w:val="333333"/>
                <w:sz w:val="16"/>
                <w:szCs w:val="16"/>
                <w:bdr w:val="none" w:color="auto" w:sz="0" w:space="0"/>
              </w:rPr>
              <w:t>5.</w:t>
            </w:r>
            <w:r>
              <w:rPr>
                <w:rFonts w:hint="eastAsia" w:ascii="宋体" w:hAnsi="宋体" w:eastAsia="宋体" w:cs="宋体"/>
                <w:color w:val="333333"/>
                <w:sz w:val="16"/>
                <w:szCs w:val="16"/>
                <w:bdr w:val="none" w:color="auto" w:sz="0" w:space="0"/>
              </w:rPr>
              <w:t>要求行政机关确认或重新出具已获取信息</w:t>
            </w:r>
          </w:p>
        </w:tc>
        <w:tc>
          <w:tcPr>
            <w:tcW w:w="333"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395"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337"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533"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446"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391"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378"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354" w:type="pct"/>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1828" w:type="pct"/>
            <w:gridSpan w:val="2"/>
            <w:tcBorders>
              <w:top w:val="nil"/>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rPr>
                <w:color w:val="333333"/>
                <w:sz w:val="16"/>
                <w:szCs w:val="16"/>
              </w:rPr>
            </w:pPr>
            <w:r>
              <w:rPr>
                <w:rFonts w:hint="default" w:ascii="Times New Roman" w:hAnsi="Times New Roman" w:cs="Times New Roman"/>
                <w:color w:val="333333"/>
                <w:sz w:val="16"/>
                <w:szCs w:val="16"/>
                <w:bdr w:val="none" w:color="auto" w:sz="0" w:space="0"/>
              </w:rPr>
              <w:t>（六）其他处理</w:t>
            </w:r>
          </w:p>
        </w:tc>
        <w:tc>
          <w:tcPr>
            <w:tcW w:w="333"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395"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337"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533"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446"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391"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378"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354" w:type="pct"/>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1828" w:type="pct"/>
            <w:gridSpan w:val="2"/>
            <w:tcBorders>
              <w:top w:val="nil"/>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rPr>
                <w:color w:val="333333"/>
                <w:sz w:val="16"/>
                <w:szCs w:val="16"/>
              </w:rPr>
            </w:pPr>
            <w:r>
              <w:rPr>
                <w:rFonts w:hint="default" w:ascii="Times New Roman" w:hAnsi="Times New Roman" w:cs="Times New Roman"/>
                <w:color w:val="333333"/>
                <w:sz w:val="16"/>
                <w:szCs w:val="16"/>
                <w:bdr w:val="none" w:color="auto" w:sz="0" w:space="0"/>
              </w:rPr>
              <w:t>（七）总计</w:t>
            </w:r>
          </w:p>
        </w:tc>
        <w:tc>
          <w:tcPr>
            <w:tcW w:w="333" w:type="pct"/>
            <w:tcBorders>
              <w:top w:val="nil"/>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jc w:val="center"/>
              <w:rPr>
                <w:color w:val="333333"/>
                <w:sz w:val="16"/>
                <w:szCs w:val="16"/>
              </w:rPr>
            </w:pPr>
            <w:r>
              <w:rPr>
                <w:rFonts w:hint="eastAsia" w:ascii="宋体" w:hAnsi="宋体" w:eastAsia="宋体" w:cs="宋体"/>
                <w:color w:val="333333"/>
                <w:sz w:val="16"/>
                <w:szCs w:val="16"/>
                <w:bdr w:val="none" w:color="auto" w:sz="0" w:space="0"/>
              </w:rPr>
              <w:t>41</w:t>
            </w:r>
          </w:p>
        </w:tc>
        <w:tc>
          <w:tcPr>
            <w:tcW w:w="395"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337"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533"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446"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391"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378" w:type="pct"/>
            <w:tcBorders>
              <w:top w:val="nil"/>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jc w:val="center"/>
              <w:rPr>
                <w:color w:val="333333"/>
                <w:sz w:val="16"/>
                <w:szCs w:val="16"/>
              </w:rPr>
            </w:pPr>
            <w:r>
              <w:rPr>
                <w:rFonts w:hint="eastAsia" w:ascii="宋体" w:hAnsi="宋体" w:eastAsia="宋体" w:cs="宋体"/>
                <w:color w:val="333333"/>
                <w:sz w:val="16"/>
                <w:szCs w:val="16"/>
                <w:bdr w:val="none" w:color="auto" w:sz="0" w:space="0"/>
              </w:rPr>
              <w:t>41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184" w:type="pct"/>
            <w:gridSpan w:val="3"/>
            <w:tcBorders>
              <w:top w:val="nil"/>
              <w:left w:val="single" w:color="auto" w:sz="4" w:space="0"/>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rPr>
                <w:color w:val="333333"/>
                <w:sz w:val="16"/>
                <w:szCs w:val="16"/>
              </w:rPr>
            </w:pPr>
            <w:r>
              <w:rPr>
                <w:rFonts w:hint="default" w:ascii="Times New Roman" w:hAnsi="Times New Roman" w:cs="Times New Roman"/>
                <w:color w:val="333333"/>
                <w:sz w:val="16"/>
                <w:szCs w:val="16"/>
                <w:bdr w:val="none" w:color="auto" w:sz="0" w:space="0"/>
              </w:rPr>
              <w:t>四、结转下年度继续办理</w:t>
            </w:r>
          </w:p>
        </w:tc>
        <w:tc>
          <w:tcPr>
            <w:tcW w:w="333"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395"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337"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533"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446"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391"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378" w:type="pct"/>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both"/>
        <w:rPr>
          <w:rFonts w:hint="eastAsia" w:ascii="微软雅黑" w:hAnsi="微软雅黑" w:eastAsia="微软雅黑" w:cs="微软雅黑"/>
          <w:i w:val="0"/>
          <w:caps w:val="0"/>
          <w:color w:val="333333"/>
          <w:spacing w:val="0"/>
          <w:sz w:val="27"/>
          <w:szCs w:val="27"/>
        </w:rPr>
      </w:pPr>
      <w:r>
        <w:rPr>
          <w:rFonts w:hint="eastAsia" w:ascii="黑体" w:hAnsi="宋体" w:eastAsia="黑体" w:cs="黑体"/>
          <w:i w:val="0"/>
          <w:caps w:val="0"/>
          <w:color w:val="333333"/>
          <w:spacing w:val="0"/>
          <w:sz w:val="25"/>
          <w:szCs w:val="25"/>
          <w:bdr w:val="none" w:color="auto" w:sz="0" w:space="0"/>
          <w:shd w:val="clear" w:fill="FFFFFF"/>
        </w:rPr>
        <w:t>四、政府信息公开行政复议、行政诉讼情况</w:t>
      </w:r>
    </w:p>
    <w:tbl>
      <w:tblPr>
        <w:tblW w:w="726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64"/>
        <w:gridCol w:w="565"/>
        <w:gridCol w:w="565"/>
        <w:gridCol w:w="565"/>
        <w:gridCol w:w="565"/>
        <w:gridCol w:w="565"/>
        <w:gridCol w:w="565"/>
        <w:gridCol w:w="565"/>
        <w:gridCol w:w="565"/>
        <w:gridCol w:w="565"/>
        <w:gridCol w:w="565"/>
        <w:gridCol w:w="565"/>
        <w:gridCol w:w="565"/>
        <w:gridCol w:w="565"/>
        <w:gridCol w:w="56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460" w:type="dxa"/>
            <w:gridSpan w:val="5"/>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jc w:val="center"/>
              <w:rPr>
                <w:color w:val="333333"/>
                <w:sz w:val="16"/>
                <w:szCs w:val="16"/>
              </w:rPr>
            </w:pPr>
            <w:r>
              <w:rPr>
                <w:rFonts w:hint="default" w:ascii="Times New Roman" w:hAnsi="Times New Roman" w:cs="Times New Roman"/>
                <w:color w:val="333333"/>
                <w:sz w:val="15"/>
                <w:szCs w:val="15"/>
                <w:bdr w:val="none" w:color="auto" w:sz="0" w:space="0"/>
              </w:rPr>
              <w:t>行政复议</w:t>
            </w:r>
          </w:p>
        </w:tc>
        <w:tc>
          <w:tcPr>
            <w:tcW w:w="4800" w:type="dxa"/>
            <w:gridSpan w:val="10"/>
            <w:tcBorders>
              <w:top w:val="single" w:color="auto" w:sz="4" w:space="0"/>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jc w:val="center"/>
              <w:rPr>
                <w:color w:val="333333"/>
                <w:sz w:val="16"/>
                <w:szCs w:val="16"/>
              </w:rPr>
            </w:pPr>
            <w:r>
              <w:rPr>
                <w:rFonts w:hint="default" w:ascii="Times New Roman" w:hAnsi="Times New Roman" w:cs="Times New Roman"/>
                <w:color w:val="333333"/>
                <w:sz w:val="15"/>
                <w:szCs w:val="15"/>
                <w:bdr w:val="none" w:color="auto" w:sz="0" w:space="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80" w:type="dxa"/>
            <w:vMerge w:val="restart"/>
            <w:tcBorders>
              <w:top w:val="nil"/>
              <w:left w:val="single" w:color="auto" w:sz="4" w:space="0"/>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jc w:val="center"/>
              <w:rPr>
                <w:color w:val="333333"/>
                <w:sz w:val="16"/>
                <w:szCs w:val="16"/>
              </w:rPr>
            </w:pPr>
            <w:r>
              <w:rPr>
                <w:rFonts w:hint="default" w:ascii="Times New Roman" w:hAnsi="Times New Roman" w:cs="Times New Roman"/>
                <w:color w:val="333333"/>
                <w:sz w:val="15"/>
                <w:szCs w:val="15"/>
                <w:bdr w:val="none" w:color="auto" w:sz="0" w:space="0"/>
              </w:rPr>
              <w:t>结果维持</w:t>
            </w:r>
          </w:p>
        </w:tc>
        <w:tc>
          <w:tcPr>
            <w:tcW w:w="480" w:type="dxa"/>
            <w:vMerge w:val="restart"/>
            <w:tcBorders>
              <w:top w:val="nil"/>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jc w:val="center"/>
              <w:rPr>
                <w:color w:val="333333"/>
                <w:sz w:val="16"/>
                <w:szCs w:val="16"/>
              </w:rPr>
            </w:pPr>
            <w:r>
              <w:rPr>
                <w:rFonts w:hint="default" w:ascii="Times New Roman" w:hAnsi="Times New Roman" w:cs="Times New Roman"/>
                <w:color w:val="333333"/>
                <w:sz w:val="15"/>
                <w:szCs w:val="15"/>
                <w:bdr w:val="none" w:color="auto" w:sz="0" w:space="0"/>
              </w:rPr>
              <w:t>结果纠正</w:t>
            </w:r>
          </w:p>
        </w:tc>
        <w:tc>
          <w:tcPr>
            <w:tcW w:w="480" w:type="dxa"/>
            <w:vMerge w:val="restart"/>
            <w:tcBorders>
              <w:top w:val="single" w:color="auto" w:sz="4" w:space="0"/>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jc w:val="center"/>
              <w:rPr>
                <w:color w:val="333333"/>
                <w:sz w:val="16"/>
                <w:szCs w:val="16"/>
              </w:rPr>
            </w:pPr>
            <w:r>
              <w:rPr>
                <w:rFonts w:hint="default" w:ascii="Times New Roman" w:hAnsi="Times New Roman" w:cs="Times New Roman"/>
                <w:color w:val="333333"/>
                <w:sz w:val="15"/>
                <w:szCs w:val="15"/>
                <w:bdr w:val="none" w:color="auto" w:sz="0" w:space="0"/>
              </w:rPr>
              <w:t>其他结果</w:t>
            </w:r>
          </w:p>
        </w:tc>
        <w:tc>
          <w:tcPr>
            <w:tcW w:w="480" w:type="dxa"/>
            <w:vMerge w:val="restart"/>
            <w:tcBorders>
              <w:top w:val="single" w:color="auto" w:sz="4" w:space="0"/>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jc w:val="center"/>
              <w:rPr>
                <w:color w:val="333333"/>
                <w:sz w:val="16"/>
                <w:szCs w:val="16"/>
              </w:rPr>
            </w:pPr>
            <w:r>
              <w:rPr>
                <w:rFonts w:hint="default" w:ascii="Times New Roman" w:hAnsi="Times New Roman" w:cs="Times New Roman"/>
                <w:color w:val="333333"/>
                <w:sz w:val="15"/>
                <w:szCs w:val="15"/>
                <w:bdr w:val="none" w:color="auto" w:sz="0" w:space="0"/>
              </w:rPr>
              <w:t>尚未审结</w:t>
            </w:r>
          </w:p>
        </w:tc>
        <w:tc>
          <w:tcPr>
            <w:tcW w:w="528" w:type="dxa"/>
            <w:vMerge w:val="restart"/>
            <w:tcBorders>
              <w:top w:val="single" w:color="auto" w:sz="4" w:space="0"/>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jc w:val="center"/>
              <w:rPr>
                <w:color w:val="333333"/>
                <w:sz w:val="16"/>
                <w:szCs w:val="16"/>
              </w:rPr>
            </w:pPr>
            <w:r>
              <w:rPr>
                <w:rFonts w:hint="default" w:ascii="Times New Roman" w:hAnsi="Times New Roman" w:cs="Times New Roman"/>
                <w:color w:val="333333"/>
                <w:sz w:val="15"/>
                <w:szCs w:val="15"/>
                <w:bdr w:val="none" w:color="auto" w:sz="0" w:space="0"/>
              </w:rPr>
              <w:t>总计</w:t>
            </w:r>
          </w:p>
        </w:tc>
        <w:tc>
          <w:tcPr>
            <w:tcW w:w="2376" w:type="dxa"/>
            <w:gridSpan w:val="5"/>
            <w:tcBorders>
              <w:top w:val="single" w:color="auto" w:sz="4" w:space="0"/>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jc w:val="center"/>
              <w:rPr>
                <w:color w:val="333333"/>
                <w:sz w:val="16"/>
                <w:szCs w:val="16"/>
              </w:rPr>
            </w:pPr>
            <w:r>
              <w:rPr>
                <w:rFonts w:hint="default" w:ascii="Times New Roman" w:hAnsi="Times New Roman" w:cs="Times New Roman"/>
                <w:color w:val="333333"/>
                <w:sz w:val="15"/>
                <w:szCs w:val="15"/>
                <w:bdr w:val="none" w:color="auto" w:sz="0" w:space="0"/>
              </w:rPr>
              <w:t>未经复议直接起诉</w:t>
            </w:r>
          </w:p>
        </w:tc>
        <w:tc>
          <w:tcPr>
            <w:tcW w:w="2424" w:type="dxa"/>
            <w:gridSpan w:val="5"/>
            <w:tcBorders>
              <w:top w:val="single" w:color="auto" w:sz="4" w:space="0"/>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jc w:val="center"/>
              <w:rPr>
                <w:color w:val="333333"/>
                <w:sz w:val="16"/>
                <w:szCs w:val="16"/>
              </w:rPr>
            </w:pPr>
            <w:r>
              <w:rPr>
                <w:rFonts w:hint="default" w:ascii="Times New Roman" w:hAnsi="Times New Roman" w:cs="Times New Roman"/>
                <w:color w:val="333333"/>
                <w:sz w:val="15"/>
                <w:szCs w:val="15"/>
                <w:bdr w:val="none" w:color="auto" w:sz="0" w:space="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80" w:type="dxa"/>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480" w:type="dxa"/>
            <w:vMerge w:val="continue"/>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480" w:type="dxa"/>
            <w:vMerge w:val="continue"/>
            <w:tcBorders>
              <w:top w:val="single" w:color="auto" w:sz="4" w:space="0"/>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480" w:type="dxa"/>
            <w:vMerge w:val="continue"/>
            <w:tcBorders>
              <w:top w:val="single" w:color="auto" w:sz="4" w:space="0"/>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528" w:type="dxa"/>
            <w:vMerge w:val="continue"/>
            <w:tcBorders>
              <w:top w:val="single" w:color="auto" w:sz="4" w:space="0"/>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444" w:type="dxa"/>
            <w:tcBorders>
              <w:top w:val="nil"/>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jc w:val="center"/>
              <w:rPr>
                <w:color w:val="333333"/>
                <w:sz w:val="16"/>
                <w:szCs w:val="16"/>
              </w:rPr>
            </w:pPr>
            <w:r>
              <w:rPr>
                <w:rFonts w:hint="default" w:ascii="Times New Roman" w:hAnsi="Times New Roman" w:cs="Times New Roman"/>
                <w:color w:val="333333"/>
                <w:sz w:val="15"/>
                <w:szCs w:val="15"/>
                <w:bdr w:val="none" w:color="auto" w:sz="0" w:space="0"/>
              </w:rPr>
              <w:t>结果维持</w:t>
            </w:r>
          </w:p>
        </w:tc>
        <w:tc>
          <w:tcPr>
            <w:tcW w:w="480" w:type="dxa"/>
            <w:tcBorders>
              <w:top w:val="nil"/>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jc w:val="center"/>
              <w:rPr>
                <w:color w:val="333333"/>
                <w:sz w:val="16"/>
                <w:szCs w:val="16"/>
              </w:rPr>
            </w:pPr>
            <w:r>
              <w:rPr>
                <w:rFonts w:hint="default" w:ascii="Times New Roman" w:hAnsi="Times New Roman" w:cs="Times New Roman"/>
                <w:color w:val="333333"/>
                <w:sz w:val="15"/>
                <w:szCs w:val="15"/>
                <w:bdr w:val="none" w:color="auto" w:sz="0" w:space="0"/>
              </w:rPr>
              <w:t>结果纠正</w:t>
            </w:r>
          </w:p>
        </w:tc>
        <w:tc>
          <w:tcPr>
            <w:tcW w:w="480"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jc w:val="center"/>
              <w:rPr>
                <w:color w:val="333333"/>
                <w:sz w:val="16"/>
                <w:szCs w:val="16"/>
              </w:rPr>
            </w:pPr>
            <w:r>
              <w:rPr>
                <w:rFonts w:hint="default" w:ascii="Times New Roman" w:hAnsi="Times New Roman" w:cs="Times New Roman"/>
                <w:color w:val="333333"/>
                <w:sz w:val="15"/>
                <w:szCs w:val="15"/>
                <w:bdr w:val="none" w:color="auto" w:sz="0" w:space="0"/>
              </w:rPr>
              <w:t>其他结果</w:t>
            </w:r>
          </w:p>
        </w:tc>
        <w:tc>
          <w:tcPr>
            <w:tcW w:w="480"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jc w:val="center"/>
              <w:rPr>
                <w:color w:val="333333"/>
                <w:sz w:val="16"/>
                <w:szCs w:val="16"/>
              </w:rPr>
            </w:pPr>
            <w:r>
              <w:rPr>
                <w:rFonts w:hint="default" w:ascii="Times New Roman" w:hAnsi="Times New Roman" w:cs="Times New Roman"/>
                <w:color w:val="333333"/>
                <w:sz w:val="15"/>
                <w:szCs w:val="15"/>
                <w:bdr w:val="none" w:color="auto" w:sz="0" w:space="0"/>
              </w:rPr>
              <w:t>尚未审结</w:t>
            </w:r>
          </w:p>
        </w:tc>
        <w:tc>
          <w:tcPr>
            <w:tcW w:w="480"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jc w:val="center"/>
              <w:rPr>
                <w:color w:val="333333"/>
                <w:sz w:val="16"/>
                <w:szCs w:val="16"/>
              </w:rPr>
            </w:pPr>
            <w:r>
              <w:rPr>
                <w:rFonts w:hint="default" w:ascii="Times New Roman" w:hAnsi="Times New Roman" w:cs="Times New Roman"/>
                <w:color w:val="333333"/>
                <w:sz w:val="15"/>
                <w:szCs w:val="15"/>
                <w:bdr w:val="none" w:color="auto" w:sz="0" w:space="0"/>
              </w:rPr>
              <w:t>总计</w:t>
            </w:r>
          </w:p>
        </w:tc>
        <w:tc>
          <w:tcPr>
            <w:tcW w:w="480"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jc w:val="center"/>
              <w:rPr>
                <w:color w:val="333333"/>
                <w:sz w:val="16"/>
                <w:szCs w:val="16"/>
              </w:rPr>
            </w:pPr>
            <w:r>
              <w:rPr>
                <w:rFonts w:hint="default" w:ascii="Times New Roman" w:hAnsi="Times New Roman" w:cs="Times New Roman"/>
                <w:color w:val="333333"/>
                <w:sz w:val="15"/>
                <w:szCs w:val="15"/>
                <w:bdr w:val="none" w:color="auto" w:sz="0" w:space="0"/>
              </w:rPr>
              <w:t>结果维持</w:t>
            </w:r>
          </w:p>
        </w:tc>
        <w:tc>
          <w:tcPr>
            <w:tcW w:w="480"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jc w:val="center"/>
              <w:rPr>
                <w:color w:val="333333"/>
                <w:sz w:val="16"/>
                <w:szCs w:val="16"/>
              </w:rPr>
            </w:pPr>
            <w:r>
              <w:rPr>
                <w:rFonts w:hint="default" w:ascii="Times New Roman" w:hAnsi="Times New Roman" w:cs="Times New Roman"/>
                <w:color w:val="333333"/>
                <w:sz w:val="15"/>
                <w:szCs w:val="15"/>
                <w:bdr w:val="none" w:color="auto" w:sz="0" w:space="0"/>
              </w:rPr>
              <w:t>结果纠正</w:t>
            </w:r>
          </w:p>
        </w:tc>
        <w:tc>
          <w:tcPr>
            <w:tcW w:w="480"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jc w:val="center"/>
              <w:rPr>
                <w:color w:val="333333"/>
                <w:sz w:val="16"/>
                <w:szCs w:val="16"/>
              </w:rPr>
            </w:pPr>
            <w:r>
              <w:rPr>
                <w:rFonts w:hint="default" w:ascii="Times New Roman" w:hAnsi="Times New Roman" w:cs="Times New Roman"/>
                <w:color w:val="333333"/>
                <w:sz w:val="15"/>
                <w:szCs w:val="15"/>
                <w:bdr w:val="none" w:color="auto" w:sz="0" w:space="0"/>
              </w:rPr>
              <w:t>其他结果</w:t>
            </w:r>
          </w:p>
        </w:tc>
        <w:tc>
          <w:tcPr>
            <w:tcW w:w="480"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jc w:val="center"/>
              <w:rPr>
                <w:color w:val="333333"/>
                <w:sz w:val="16"/>
                <w:szCs w:val="16"/>
              </w:rPr>
            </w:pPr>
            <w:r>
              <w:rPr>
                <w:rFonts w:hint="default" w:ascii="Times New Roman" w:hAnsi="Times New Roman" w:cs="Times New Roman"/>
                <w:color w:val="333333"/>
                <w:sz w:val="15"/>
                <w:szCs w:val="15"/>
                <w:bdr w:val="none" w:color="auto" w:sz="0" w:space="0"/>
              </w:rPr>
              <w:t>尚未审结</w:t>
            </w:r>
          </w:p>
        </w:tc>
        <w:tc>
          <w:tcPr>
            <w:tcW w:w="480"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jc w:val="center"/>
              <w:rPr>
                <w:color w:val="333333"/>
                <w:sz w:val="16"/>
                <w:szCs w:val="16"/>
              </w:rPr>
            </w:pPr>
            <w:r>
              <w:rPr>
                <w:rFonts w:hint="default" w:ascii="Times New Roman" w:hAnsi="Times New Roman" w:cs="Times New Roman"/>
                <w:color w:val="333333"/>
                <w:sz w:val="15"/>
                <w:szCs w:val="15"/>
                <w:bdr w:val="none" w:color="auto" w:sz="0" w:space="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80" w:type="dxa"/>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480" w:type="dxa"/>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480" w:type="dxa"/>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480" w:type="dxa"/>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528" w:type="dxa"/>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444" w:type="dxa"/>
            <w:tcBorders>
              <w:top w:val="nil"/>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jc w:val="center"/>
              <w:rPr>
                <w:color w:val="333333"/>
                <w:sz w:val="16"/>
                <w:szCs w:val="16"/>
              </w:rPr>
            </w:pPr>
            <w:r>
              <w:rPr>
                <w:rFonts w:hint="eastAsia" w:ascii="宋体" w:hAnsi="宋体" w:eastAsia="宋体" w:cs="宋体"/>
                <w:color w:val="333333"/>
                <w:sz w:val="15"/>
                <w:szCs w:val="15"/>
                <w:bdr w:val="none" w:color="auto" w:sz="0" w:space="0"/>
              </w:rPr>
              <w:t>1</w:t>
            </w:r>
          </w:p>
        </w:tc>
        <w:tc>
          <w:tcPr>
            <w:tcW w:w="480" w:type="dxa"/>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480" w:type="dxa"/>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480" w:type="dxa"/>
            <w:tcBorders>
              <w:top w:val="nil"/>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jc w:val="center"/>
              <w:rPr>
                <w:color w:val="333333"/>
                <w:sz w:val="16"/>
                <w:szCs w:val="16"/>
              </w:rPr>
            </w:pPr>
            <w:r>
              <w:rPr>
                <w:rFonts w:hint="eastAsia" w:ascii="宋体" w:hAnsi="宋体" w:eastAsia="宋体" w:cs="宋体"/>
                <w:color w:val="333333"/>
                <w:sz w:val="15"/>
                <w:szCs w:val="15"/>
                <w:bdr w:val="none" w:color="auto" w:sz="0" w:space="0"/>
              </w:rPr>
              <w:t>1</w:t>
            </w:r>
          </w:p>
        </w:tc>
        <w:tc>
          <w:tcPr>
            <w:tcW w:w="480" w:type="dxa"/>
            <w:tcBorders>
              <w:top w:val="nil"/>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jc w:val="center"/>
              <w:rPr>
                <w:color w:val="333333"/>
                <w:sz w:val="16"/>
                <w:szCs w:val="16"/>
              </w:rPr>
            </w:pPr>
            <w:r>
              <w:rPr>
                <w:rFonts w:hint="eastAsia" w:ascii="宋体" w:hAnsi="宋体" w:eastAsia="宋体" w:cs="宋体"/>
                <w:color w:val="333333"/>
                <w:sz w:val="15"/>
                <w:szCs w:val="15"/>
                <w:bdr w:val="none" w:color="auto" w:sz="0" w:space="0"/>
              </w:rPr>
              <w:t>2</w:t>
            </w:r>
          </w:p>
        </w:tc>
        <w:tc>
          <w:tcPr>
            <w:tcW w:w="480" w:type="dxa"/>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480" w:type="dxa"/>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480" w:type="dxa"/>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480" w:type="dxa"/>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480" w:type="dxa"/>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16"/>
        <w:jc w:val="both"/>
        <w:rPr>
          <w:rFonts w:hint="eastAsia" w:ascii="微软雅黑" w:hAnsi="微软雅黑" w:eastAsia="微软雅黑" w:cs="微软雅黑"/>
          <w:i w:val="0"/>
          <w:caps w:val="0"/>
          <w:color w:val="333333"/>
          <w:spacing w:val="0"/>
          <w:sz w:val="27"/>
          <w:szCs w:val="27"/>
        </w:rPr>
      </w:pPr>
      <w:r>
        <w:rPr>
          <w:rFonts w:hint="eastAsia" w:ascii="黑体" w:hAnsi="宋体" w:eastAsia="黑体" w:cs="黑体"/>
          <w:i w:val="0"/>
          <w:caps w:val="0"/>
          <w:color w:val="333333"/>
          <w:spacing w:val="0"/>
          <w:sz w:val="25"/>
          <w:szCs w:val="25"/>
          <w:bdr w:val="none" w:color="auto" w:sz="0" w:space="0"/>
          <w:shd w:val="clear" w:fill="FFFFFF"/>
        </w:rPr>
        <w:t>五、存在的主要问题及改进情况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16"/>
        <w:jc w:val="both"/>
        <w:rPr>
          <w:rFonts w:hint="eastAsia" w:ascii="微软雅黑" w:hAnsi="微软雅黑" w:eastAsia="微软雅黑" w:cs="微软雅黑"/>
          <w:i w:val="0"/>
          <w:caps w:val="0"/>
          <w:color w:val="333333"/>
          <w:spacing w:val="0"/>
          <w:sz w:val="27"/>
          <w:szCs w:val="27"/>
        </w:rPr>
      </w:pPr>
      <w:r>
        <w:rPr>
          <w:rFonts w:hint="eastAsia" w:ascii="仿宋" w:hAnsi="仿宋" w:eastAsia="仿宋" w:cs="仿宋"/>
          <w:i w:val="0"/>
          <w:caps w:val="0"/>
          <w:color w:val="333333"/>
          <w:spacing w:val="0"/>
          <w:sz w:val="25"/>
          <w:szCs w:val="25"/>
          <w:bdr w:val="none" w:color="auto" w:sz="0" w:space="0"/>
          <w:shd w:val="clear" w:fill="FFFFFF"/>
        </w:rPr>
        <w:t>2020年，全市政务公开工作存在的问题和不足。一是主动公开意识需要加强。随着法治政府建设不断深入，政府信息主动公开的要求不断提升，主动公开工作在提高重要性认识、提高规范性、专业性方面需要加强。二是依申请公开答复需要进一步规范。近年来，依申请公开数量不断上升，依申请公开工作压力不断加大，依申请公开工作在畅通接受渠道、保证答复时效、规范告知内容等方面亟需规范。三是业务培训效果需要进一步提高。政务公开工作人员配备不足，且岗位变动较为频繁，政务公开业务培训在增加培训频次、创新培训形式、丰富培训内容方面有待提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16"/>
        <w:jc w:val="both"/>
        <w:rPr>
          <w:rFonts w:hint="eastAsia" w:ascii="微软雅黑" w:hAnsi="微软雅黑" w:eastAsia="微软雅黑" w:cs="微软雅黑"/>
          <w:i w:val="0"/>
          <w:caps w:val="0"/>
          <w:color w:val="333333"/>
          <w:spacing w:val="0"/>
          <w:sz w:val="27"/>
          <w:szCs w:val="27"/>
        </w:rPr>
      </w:pPr>
      <w:r>
        <w:rPr>
          <w:rFonts w:hint="eastAsia" w:ascii="仿宋" w:hAnsi="仿宋" w:eastAsia="仿宋" w:cs="仿宋"/>
          <w:i w:val="0"/>
          <w:caps w:val="0"/>
          <w:color w:val="333333"/>
          <w:spacing w:val="0"/>
          <w:sz w:val="25"/>
          <w:szCs w:val="25"/>
          <w:bdr w:val="none" w:color="auto" w:sz="0" w:space="0"/>
          <w:shd w:val="clear" w:fill="FFFFFF"/>
        </w:rPr>
        <w:t>2021年，我市将按照上级有关部署要求，认真贯彻落实《条例》，发扬成绩，改进不足，切实加强政务公开各项工作。一是提高政务公开意识，加大主动公开力度。准确把握依申请公开的规范性、时效性，依法依规做好依申请公开工作。二是提升网站建设水平。进一步完善政务公开门户网站，优化整合网站栏目，细化公开内容，充分发挥网站的主体作用。三是做好培训和督导。加强对部门、镇街区政务公开工作人员的业务培训，强化政务公开意识，提升工作人员综合素质和专业能力。按照今年政务公开任务分解事项，对各单位公开工作落实情况做好检查指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16"/>
        <w:jc w:val="both"/>
        <w:rPr>
          <w:rFonts w:hint="eastAsia" w:ascii="微软雅黑" w:hAnsi="微软雅黑" w:eastAsia="微软雅黑" w:cs="微软雅黑"/>
          <w:i w:val="0"/>
          <w:caps w:val="0"/>
          <w:color w:val="333333"/>
          <w:spacing w:val="0"/>
          <w:sz w:val="27"/>
          <w:szCs w:val="27"/>
        </w:rPr>
      </w:pPr>
      <w:r>
        <w:rPr>
          <w:rFonts w:hint="eastAsia" w:ascii="黑体" w:hAnsi="宋体" w:eastAsia="黑体" w:cs="黑体"/>
          <w:i w:val="0"/>
          <w:caps w:val="0"/>
          <w:color w:val="333333"/>
          <w:spacing w:val="0"/>
          <w:sz w:val="25"/>
          <w:szCs w:val="25"/>
          <w:bdr w:val="none" w:color="auto" w:sz="0" w:space="0"/>
          <w:shd w:val="clear" w:fill="FFFFFF"/>
        </w:rPr>
        <w:t>六、其他需要报告的事项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16"/>
        <w:jc w:val="both"/>
        <w:rPr>
          <w:rFonts w:hint="eastAsia" w:ascii="微软雅黑" w:hAnsi="微软雅黑" w:eastAsia="微软雅黑" w:cs="微软雅黑"/>
          <w:i w:val="0"/>
          <w:caps w:val="0"/>
          <w:color w:val="333333"/>
          <w:spacing w:val="0"/>
          <w:sz w:val="27"/>
          <w:szCs w:val="27"/>
        </w:rPr>
      </w:pPr>
      <w:r>
        <w:rPr>
          <w:rFonts w:hint="eastAsia" w:ascii="仿宋" w:hAnsi="仿宋" w:eastAsia="仿宋" w:cs="仿宋"/>
          <w:i w:val="0"/>
          <w:caps w:val="0"/>
          <w:color w:val="333333"/>
          <w:spacing w:val="0"/>
          <w:sz w:val="25"/>
          <w:szCs w:val="25"/>
          <w:bdr w:val="none" w:color="auto" w:sz="0" w:space="0"/>
          <w:shd w:val="clear" w:fill="FFFFFF"/>
        </w:rPr>
        <w:t>无其他需要说明的事项。</w:t>
      </w:r>
    </w:p>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D3090D"/>
    <w:rsid w:val="40D309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2021-03-03T05:42:00Z</dcterms:created>
  <dc:creator>似曾相识</dc:creator>
  <cp:lastModifiedBy>似曾相识</cp:lastModifiedBy>
  <dcterms:modified xsi:type="dcterms:W3CDTF">2021-03-03T05:43:22Z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